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36E7" w14:textId="77777777" w:rsidR="001977AB" w:rsidRPr="000F2B36" w:rsidRDefault="001977AB" w:rsidP="001977AB">
      <w:pPr>
        <w:widowControl w:val="0"/>
        <w:spacing w:after="0" w:line="240" w:lineRule="auto"/>
        <w:jc w:val="center"/>
        <w:rPr>
          <w:b/>
          <w:szCs w:val="28"/>
        </w:rPr>
      </w:pPr>
      <w:r w:rsidRPr="000F2B36">
        <w:rPr>
          <w:b/>
          <w:szCs w:val="28"/>
        </w:rPr>
        <w:t>BẢN THUYẾT MINH</w:t>
      </w:r>
    </w:p>
    <w:p w14:paraId="55864350" w14:textId="77777777" w:rsidR="001977AB" w:rsidRDefault="001977AB" w:rsidP="001977AB">
      <w:pPr>
        <w:spacing w:after="0" w:line="240" w:lineRule="auto"/>
        <w:ind w:right="-142"/>
        <w:jc w:val="center"/>
        <w:rPr>
          <w:b/>
          <w:bCs/>
          <w:szCs w:val="28"/>
        </w:rPr>
      </w:pPr>
      <w:bookmarkStart w:id="0" w:name="_Hlk101991106"/>
      <w:r w:rsidRPr="000F2B36">
        <w:rPr>
          <w:b/>
          <w:szCs w:val="28"/>
          <w:shd w:val="clear" w:color="auto" w:fill="FFFFFF"/>
        </w:rPr>
        <w:t xml:space="preserve">Cơ sở xây dựng </w:t>
      </w:r>
      <w:bookmarkEnd w:id="0"/>
      <w:r w:rsidRPr="00BF72B9">
        <w:rPr>
          <w:b/>
          <w:bCs/>
          <w:szCs w:val="28"/>
        </w:rPr>
        <w:t xml:space="preserve">quy định mức nộp tiền khi </w:t>
      </w:r>
      <w:r w:rsidRPr="009255A9">
        <w:rPr>
          <w:b/>
          <w:bCs/>
          <w:szCs w:val="28"/>
        </w:rPr>
        <w:t>được nhà nước giao đất, cho thuê đất để sử dụng vào mục đích phi nông nghiệp từ đất chuyên trồng lúa</w:t>
      </w:r>
      <w:r>
        <w:rPr>
          <w:b/>
          <w:bCs/>
          <w:szCs w:val="28"/>
        </w:rPr>
        <w:t xml:space="preserve"> </w:t>
      </w:r>
    </w:p>
    <w:p w14:paraId="1AD13699" w14:textId="77777777" w:rsidR="001977AB" w:rsidRPr="001977AB" w:rsidRDefault="001977AB" w:rsidP="001977AB">
      <w:pPr>
        <w:spacing w:after="0" w:line="240" w:lineRule="auto"/>
        <w:ind w:right="-142"/>
        <w:jc w:val="center"/>
        <w:rPr>
          <w:b/>
          <w:bCs/>
          <w:szCs w:val="28"/>
        </w:rPr>
      </w:pPr>
      <w:r w:rsidRPr="005B64FE">
        <w:rPr>
          <w:b/>
          <w:szCs w:val="28"/>
        </w:rPr>
        <w:t>trên địa bàn tỉnh Bắc Kạn</w:t>
      </w:r>
    </w:p>
    <w:p w14:paraId="67283996" w14:textId="77777777" w:rsidR="001977AB" w:rsidRPr="000F2B36" w:rsidRDefault="001977AB" w:rsidP="001977AB">
      <w:pPr>
        <w:widowControl w:val="0"/>
        <w:spacing w:after="0" w:line="240" w:lineRule="auto"/>
        <w:jc w:val="center"/>
        <w:rPr>
          <w:i/>
          <w:sz w:val="26"/>
          <w:szCs w:val="26"/>
        </w:rPr>
      </w:pPr>
      <w:r w:rsidRPr="000F2B36">
        <w:rPr>
          <w:i/>
          <w:sz w:val="26"/>
          <w:szCs w:val="26"/>
        </w:rPr>
        <w:t>(Kèm theo</w:t>
      </w:r>
      <w:r>
        <w:rPr>
          <w:i/>
          <w:sz w:val="26"/>
          <w:szCs w:val="26"/>
        </w:rPr>
        <w:t xml:space="preserve"> Tờ trình số        </w:t>
      </w:r>
      <w:r w:rsidRPr="000F2B36">
        <w:rPr>
          <w:i/>
          <w:sz w:val="26"/>
          <w:szCs w:val="26"/>
        </w:rPr>
        <w:t xml:space="preserve"> </w:t>
      </w:r>
      <w:r>
        <w:rPr>
          <w:i/>
          <w:sz w:val="26"/>
          <w:szCs w:val="26"/>
        </w:rPr>
        <w:t>/TTr-STC</w:t>
      </w:r>
      <w:r w:rsidRPr="000F2B36">
        <w:rPr>
          <w:i/>
          <w:sz w:val="26"/>
          <w:szCs w:val="26"/>
        </w:rPr>
        <w:t xml:space="preserve"> ngày      tháng 1</w:t>
      </w:r>
      <w:r>
        <w:rPr>
          <w:i/>
          <w:sz w:val="26"/>
          <w:szCs w:val="26"/>
        </w:rPr>
        <w:t>1</w:t>
      </w:r>
      <w:r w:rsidRPr="000F2B36">
        <w:rPr>
          <w:i/>
          <w:sz w:val="26"/>
          <w:szCs w:val="26"/>
        </w:rPr>
        <w:t xml:space="preserve"> năm 2024 </w:t>
      </w:r>
    </w:p>
    <w:p w14:paraId="0D361D91" w14:textId="77777777" w:rsidR="001977AB" w:rsidRPr="000F2B36" w:rsidRDefault="001977AB" w:rsidP="001977AB">
      <w:pPr>
        <w:widowControl w:val="0"/>
        <w:spacing w:after="0" w:line="240" w:lineRule="auto"/>
        <w:jc w:val="center"/>
        <w:rPr>
          <w:i/>
          <w:sz w:val="26"/>
          <w:szCs w:val="26"/>
        </w:rPr>
      </w:pPr>
      <w:r w:rsidRPr="000F2B36">
        <w:rPr>
          <w:i/>
          <w:sz w:val="26"/>
          <w:szCs w:val="26"/>
        </w:rPr>
        <w:t xml:space="preserve">của </w:t>
      </w:r>
      <w:r>
        <w:rPr>
          <w:i/>
          <w:sz w:val="26"/>
          <w:szCs w:val="26"/>
        </w:rPr>
        <w:t>Sở Tài chính</w:t>
      </w:r>
      <w:r w:rsidRPr="000F2B36">
        <w:rPr>
          <w:i/>
          <w:sz w:val="26"/>
          <w:szCs w:val="26"/>
        </w:rPr>
        <w:t xml:space="preserve">)               </w:t>
      </w:r>
    </w:p>
    <w:p w14:paraId="7018F0A1" w14:textId="77777777" w:rsidR="001977AB" w:rsidRPr="000F2B36" w:rsidRDefault="001977AB" w:rsidP="001977AB">
      <w:pPr>
        <w:widowControl w:val="0"/>
        <w:spacing w:before="120" w:after="120" w:line="340" w:lineRule="exact"/>
        <w:jc w:val="center"/>
        <w:rPr>
          <w:sz w:val="26"/>
          <w:szCs w:val="26"/>
        </w:rPr>
      </w:pPr>
      <w:r w:rsidRPr="000F2B36">
        <w:rPr>
          <w:noProof/>
          <w:sz w:val="26"/>
          <w:szCs w:val="26"/>
        </w:rPr>
        <mc:AlternateContent>
          <mc:Choice Requires="wps">
            <w:drawing>
              <wp:anchor distT="0" distB="0" distL="114300" distR="114300" simplePos="0" relativeHeight="251659264" behindDoc="0" locked="0" layoutInCell="1" allowOverlap="1" wp14:anchorId="537287E5" wp14:editId="6BD43128">
                <wp:simplePos x="0" y="0"/>
                <wp:positionH relativeFrom="column">
                  <wp:posOffset>2099945</wp:posOffset>
                </wp:positionH>
                <wp:positionV relativeFrom="paragraph">
                  <wp:posOffset>51435</wp:posOffset>
                </wp:positionV>
                <wp:extent cx="1800225" cy="0"/>
                <wp:effectExtent l="8255" t="11430" r="10795" b="7620"/>
                <wp:wrapNone/>
                <wp:docPr id="72959346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595270" id="_x0000_t32" coordsize="21600,21600" o:spt="32" o:oned="t" path="m,l21600,21600e" filled="f">
                <v:path arrowok="t" fillok="f" o:connecttype="none"/>
                <o:lock v:ext="edit" shapetype="t"/>
              </v:shapetype>
              <v:shape id="Straight Arrow Connector 1" o:spid="_x0000_s1026" type="#_x0000_t32" style="position:absolute;margin-left:165.35pt;margin-top:4.0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"/>
            </w:pict>
          </mc:Fallback>
        </mc:AlternateContent>
      </w:r>
    </w:p>
    <w:p w14:paraId="07D45018" w14:textId="77777777" w:rsidR="001977AB" w:rsidRPr="001977AB" w:rsidRDefault="001977AB" w:rsidP="001977AB">
      <w:pPr>
        <w:pStyle w:val="NormalWeb"/>
        <w:widowControl w:val="0"/>
        <w:shd w:val="clear" w:color="auto" w:fill="FFFFFF"/>
        <w:spacing w:before="60" w:after="0" w:line="340" w:lineRule="exact"/>
        <w:ind w:firstLine="709"/>
        <w:jc w:val="both"/>
        <w:rPr>
          <w:rFonts w:ascii="Times New Roman" w:hAnsi="Times New Roman" w:cs="Times New Roman"/>
          <w:b/>
          <w:sz w:val="28"/>
          <w:szCs w:val="28"/>
        </w:rPr>
      </w:pPr>
      <w:r w:rsidRPr="001977AB">
        <w:rPr>
          <w:rFonts w:ascii="Times New Roman" w:hAnsi="Times New Roman" w:cs="Times New Roman"/>
          <w:b/>
          <w:sz w:val="28"/>
          <w:szCs w:val="28"/>
        </w:rPr>
        <w:t xml:space="preserve">1. </w:t>
      </w:r>
      <w:r w:rsidR="00A95031">
        <w:rPr>
          <w:rFonts w:ascii="Times New Roman" w:hAnsi="Times New Roman" w:cs="Times New Roman"/>
          <w:b/>
          <w:sz w:val="28"/>
          <w:szCs w:val="28"/>
        </w:rPr>
        <w:t>Cơ sở</w:t>
      </w:r>
      <w:r w:rsidRPr="001977AB">
        <w:rPr>
          <w:rFonts w:ascii="Times New Roman" w:hAnsi="Times New Roman" w:cs="Times New Roman"/>
          <w:b/>
          <w:sz w:val="28"/>
          <w:szCs w:val="28"/>
        </w:rPr>
        <w:t xml:space="preserve"> ban hành chính sách</w:t>
      </w:r>
    </w:p>
    <w:p w14:paraId="77116914" w14:textId="77777777" w:rsidR="001977AB" w:rsidRPr="00684A2A" w:rsidRDefault="001977AB" w:rsidP="001977AB">
      <w:pPr>
        <w:pStyle w:val="NormalWeb"/>
        <w:shd w:val="clear" w:color="auto" w:fill="FFFFFF"/>
        <w:spacing w:before="120" w:after="0"/>
        <w:ind w:firstLine="709"/>
        <w:jc w:val="both"/>
        <w:rPr>
          <w:rFonts w:ascii="Times New Roman" w:hAnsi="Times New Roman" w:cs="Times New Roman"/>
          <w:spacing w:val="-2"/>
          <w:sz w:val="28"/>
          <w:szCs w:val="28"/>
          <w:lang w:eastAsia="en-US"/>
        </w:rPr>
      </w:pPr>
      <w:r>
        <w:rPr>
          <w:rFonts w:ascii="Times New Roman" w:hAnsi="Times New Roman" w:cs="Times New Roman"/>
          <w:spacing w:val="-2"/>
          <w:sz w:val="28"/>
          <w:szCs w:val="28"/>
          <w:lang w:eastAsia="en-US"/>
        </w:rPr>
        <w:t>Tại</w:t>
      </w:r>
      <w:r w:rsidRPr="00351B59">
        <w:rPr>
          <w:rFonts w:ascii="Times New Roman" w:hAnsi="Times New Roman" w:cs="Times New Roman"/>
          <w:spacing w:val="-2"/>
          <w:sz w:val="28"/>
          <w:szCs w:val="28"/>
          <w:lang w:val="vi-VN" w:eastAsia="en-US"/>
        </w:rPr>
        <w:t xml:space="preserve"> </w:t>
      </w:r>
      <w:r w:rsidRPr="00351B59">
        <w:rPr>
          <w:rFonts w:ascii="Times New Roman" w:hAnsi="Times New Roman" w:cs="Times New Roman"/>
          <w:spacing w:val="-2"/>
          <w:sz w:val="28"/>
          <w:szCs w:val="28"/>
          <w:lang w:eastAsia="en-US"/>
        </w:rPr>
        <w:t xml:space="preserve">khoản 1 </w:t>
      </w:r>
      <w:r w:rsidRPr="00351B59">
        <w:rPr>
          <w:rFonts w:ascii="Times New Roman" w:hAnsi="Times New Roman" w:cs="Times New Roman"/>
          <w:spacing w:val="-2"/>
          <w:sz w:val="28"/>
          <w:szCs w:val="28"/>
          <w:lang w:val="vi-VN" w:eastAsia="en-US"/>
        </w:rPr>
        <w:t>Điều 12 Nghị định số</w:t>
      </w:r>
      <w:r w:rsidRPr="00351B59">
        <w:rPr>
          <w:rFonts w:ascii="Times New Roman" w:hAnsi="Times New Roman" w:cs="Times New Roman"/>
          <w:spacing w:val="-2"/>
          <w:sz w:val="28"/>
          <w:szCs w:val="28"/>
          <w:lang w:eastAsia="en-US"/>
        </w:rPr>
        <w:t xml:space="preserve"> </w:t>
      </w:r>
      <w:r w:rsidRPr="00351B59">
        <w:rPr>
          <w:rFonts w:ascii="Times New Roman" w:hAnsi="Times New Roman" w:cs="Times New Roman"/>
          <w:spacing w:val="-2"/>
          <w:sz w:val="28"/>
          <w:szCs w:val="28"/>
          <w:lang w:val="vi-VN" w:eastAsia="en-US"/>
        </w:rPr>
        <w:t>112</w:t>
      </w:r>
      <w:r>
        <w:rPr>
          <w:rFonts w:ascii="Times New Roman" w:hAnsi="Times New Roman" w:cs="Times New Roman"/>
          <w:spacing w:val="-2"/>
          <w:sz w:val="28"/>
          <w:szCs w:val="28"/>
          <w:lang w:val="vi-VN" w:eastAsia="en-US"/>
        </w:rPr>
        <w:t>/2024/NĐ</w:t>
      </w:r>
      <w:r>
        <w:rPr>
          <w:rFonts w:ascii="Times New Roman" w:hAnsi="Times New Roman" w:cs="Times New Roman"/>
          <w:spacing w:val="-2"/>
          <w:sz w:val="28"/>
          <w:szCs w:val="28"/>
          <w:lang w:eastAsia="en-US"/>
        </w:rPr>
        <w:t>-</w:t>
      </w:r>
      <w:r w:rsidRPr="00351B59">
        <w:rPr>
          <w:rFonts w:ascii="Times New Roman" w:hAnsi="Times New Roman" w:cs="Times New Roman"/>
          <w:spacing w:val="-2"/>
          <w:sz w:val="28"/>
          <w:szCs w:val="28"/>
          <w:lang w:val="vi-VN" w:eastAsia="en-US"/>
        </w:rPr>
        <w:t xml:space="preserve">CP </w:t>
      </w:r>
      <w:r>
        <w:rPr>
          <w:rFonts w:ascii="Times New Roman" w:hAnsi="Times New Roman" w:cs="Times New Roman"/>
          <w:spacing w:val="-2"/>
          <w:sz w:val="28"/>
          <w:szCs w:val="28"/>
          <w:lang w:eastAsia="en-US"/>
        </w:rPr>
        <w:t xml:space="preserve">của Chính phủ có nội dung </w:t>
      </w:r>
      <w:r w:rsidRPr="00351B59">
        <w:rPr>
          <w:rFonts w:ascii="Times New Roman" w:hAnsi="Times New Roman" w:cs="Times New Roman"/>
          <w:spacing w:val="-2"/>
          <w:sz w:val="28"/>
          <w:szCs w:val="28"/>
          <w:lang w:val="vi-VN" w:eastAsia="en-US"/>
        </w:rPr>
        <w:t>quy định</w:t>
      </w:r>
      <w:bookmarkStart w:id="1" w:name="dieu_12"/>
      <w:r>
        <w:rPr>
          <w:rFonts w:ascii="Times New Roman" w:hAnsi="Times New Roman" w:cs="Times New Roman"/>
          <w:spacing w:val="-2"/>
          <w:sz w:val="28"/>
          <w:szCs w:val="28"/>
          <w:lang w:eastAsia="en-US"/>
        </w:rPr>
        <w:t xml:space="preserve"> </w:t>
      </w:r>
      <w:r w:rsidRPr="00C76F67">
        <w:rPr>
          <w:rFonts w:ascii="Times New Roman" w:hAnsi="Times New Roman" w:cs="Times New Roman"/>
          <w:bCs/>
          <w:iCs/>
          <w:spacing w:val="-2"/>
          <w:sz w:val="28"/>
          <w:szCs w:val="28"/>
          <w:lang w:val="vi-VN" w:eastAsia="en-US"/>
        </w:rPr>
        <w:t>về nộp tiền để nhà nước bổ sung diện tích đất chuyên trồng lúa bị mất hoặc tăng hiệu quả sử dụng đất trồng lúa</w:t>
      </w:r>
      <w:bookmarkEnd w:id="1"/>
      <w:r w:rsidRPr="00C76F67">
        <w:rPr>
          <w:rFonts w:ascii="Times New Roman" w:hAnsi="Times New Roman" w:cs="Times New Roman"/>
          <w:bCs/>
          <w:iCs/>
          <w:spacing w:val="-2"/>
          <w:sz w:val="28"/>
          <w:szCs w:val="28"/>
          <w:lang w:eastAsia="en-US"/>
        </w:rPr>
        <w:t xml:space="preserve"> như sau:</w:t>
      </w:r>
    </w:p>
    <w:p w14:paraId="71F92597" w14:textId="77777777" w:rsidR="001977AB" w:rsidRDefault="001977AB" w:rsidP="001977AB">
      <w:pPr>
        <w:shd w:val="clear" w:color="auto" w:fill="FFFFFF"/>
        <w:spacing w:before="120"/>
        <w:ind w:firstLine="709"/>
        <w:jc w:val="both"/>
        <w:rPr>
          <w:i/>
          <w:szCs w:val="28"/>
        </w:rPr>
      </w:pPr>
      <w:r>
        <w:rPr>
          <w:i/>
          <w:szCs w:val="28"/>
        </w:rPr>
        <w:t>“</w:t>
      </w:r>
      <w:r w:rsidRPr="00180D47">
        <w:rPr>
          <w:i/>
          <w:szCs w:val="28"/>
          <w:lang w:val="vi-VN"/>
        </w:rPr>
        <w:t xml:space="preserve">1. Người được </w:t>
      </w:r>
      <w:r>
        <w:rPr>
          <w:i/>
          <w:szCs w:val="28"/>
        </w:rPr>
        <w:t>N</w:t>
      </w:r>
      <w:r w:rsidRPr="00180D47">
        <w:rPr>
          <w:i/>
          <w:szCs w:val="28"/>
          <w:lang w:val="vi-VN"/>
        </w:rPr>
        <w:t xml:space="preserve">hà nước giao đất, cho thuê đất để sử dụng vào mục đích phi nông nghiệp từ đất chuyên trồng lúa phải nộp một khoản tiền để Nhà nước bổ sung diện tích đất chuyên trồng lúa bị mất hoặc tăng hiệu quả sử dụng đất trồng lúa, trừ các công trình, dự án sử dụng vốn đầu tư công hoặc vốn nhà nước ngoài đầu tư công theo quy định của pháp luật về đầu tư công, pháp luật về xây dựng. </w:t>
      </w:r>
      <w:r w:rsidRPr="00BF1FDF">
        <w:rPr>
          <w:b/>
          <w:i/>
          <w:szCs w:val="28"/>
          <w:lang w:val="vi-VN"/>
        </w:rPr>
        <w:t>Ủy ban nhân dân cấp tỉnh quy định</w:t>
      </w:r>
      <w:r w:rsidRPr="00180D47">
        <w:rPr>
          <w:i/>
          <w:szCs w:val="28"/>
          <w:lang w:val="vi-VN"/>
        </w:rPr>
        <w:t xml:space="preserve"> </w:t>
      </w:r>
      <w:r w:rsidRPr="001977AB">
        <w:rPr>
          <w:b/>
          <w:bCs/>
          <w:i/>
          <w:szCs w:val="28"/>
          <w:lang w:val="vi-VN"/>
        </w:rPr>
        <w:t>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r w:rsidRPr="00180D47">
        <w:rPr>
          <w:i/>
          <w:szCs w:val="28"/>
          <w:lang w:val="vi-VN"/>
        </w:rPr>
        <w:t>.</w:t>
      </w:r>
      <w:r w:rsidRPr="00180D47">
        <w:rPr>
          <w:i/>
          <w:szCs w:val="28"/>
        </w:rPr>
        <w:t>”.</w:t>
      </w:r>
      <w:r>
        <w:rPr>
          <w:i/>
          <w:szCs w:val="28"/>
        </w:rPr>
        <w:t xml:space="preserve"> </w:t>
      </w:r>
    </w:p>
    <w:p w14:paraId="7E23FF79" w14:textId="0768932B" w:rsidR="001977AB" w:rsidRPr="00417F8C" w:rsidRDefault="001977AB" w:rsidP="001977AB">
      <w:pPr>
        <w:spacing w:before="60" w:after="60" w:line="340" w:lineRule="exact"/>
        <w:ind w:firstLine="709"/>
        <w:jc w:val="both"/>
        <w:rPr>
          <w:iCs/>
          <w:spacing w:val="-2"/>
          <w:szCs w:val="28"/>
        </w:rPr>
      </w:pPr>
      <w:r w:rsidRPr="00417F8C">
        <w:rPr>
          <w:rFonts w:cs="Times New Roman"/>
          <w:spacing w:val="-2"/>
          <w:szCs w:val="28"/>
          <w:lang w:val="pt-BR"/>
        </w:rPr>
        <w:t>Căn cứ tình hình thực tế tại địa phương, Sở Tài chính đ</w:t>
      </w:r>
      <w:r w:rsidR="006625AA">
        <w:rPr>
          <w:rFonts w:cs="Times New Roman"/>
          <w:spacing w:val="-2"/>
          <w:szCs w:val="28"/>
          <w:lang w:val="pt-BR"/>
        </w:rPr>
        <w:t>ề</w:t>
      </w:r>
      <w:r w:rsidRPr="00417F8C">
        <w:rPr>
          <w:rFonts w:cs="Times New Roman"/>
          <w:spacing w:val="-2"/>
          <w:szCs w:val="28"/>
          <w:lang w:val="pt-BR"/>
        </w:rPr>
        <w:t xml:space="preserve"> xuất UBND tỉnh quy định mức nộ</w:t>
      </w:r>
      <w:r w:rsidR="006D0750">
        <w:rPr>
          <w:rFonts w:cs="Times New Roman"/>
          <w:spacing w:val="-2"/>
          <w:szCs w:val="28"/>
          <w:lang w:val="pt-BR"/>
        </w:rPr>
        <w:t>p</w:t>
      </w:r>
      <w:r w:rsidRPr="00417F8C">
        <w:rPr>
          <w:rFonts w:cs="Times New Roman"/>
          <w:spacing w:val="-2"/>
          <w:szCs w:val="28"/>
          <w:lang w:val="pt-BR"/>
        </w:rPr>
        <w:t xml:space="preserve"> bằng 50% </w:t>
      </w:r>
      <w:r w:rsidRPr="00417F8C">
        <w:rPr>
          <w:iCs/>
          <w:spacing w:val="-2"/>
          <w:szCs w:val="28"/>
          <w:lang w:val="vi-VN"/>
        </w:rPr>
        <w:t>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r w:rsidRPr="00417F8C">
        <w:rPr>
          <w:iCs/>
          <w:spacing w:val="-2"/>
          <w:szCs w:val="28"/>
        </w:rPr>
        <w:t>.</w:t>
      </w:r>
    </w:p>
    <w:p w14:paraId="460CBB45" w14:textId="77777777" w:rsidR="001977AB" w:rsidRDefault="001977AB" w:rsidP="001977AB">
      <w:pPr>
        <w:spacing w:before="60" w:after="60" w:line="340" w:lineRule="exact"/>
        <w:ind w:firstLine="709"/>
        <w:jc w:val="both"/>
        <w:rPr>
          <w:iCs/>
          <w:szCs w:val="28"/>
        </w:rPr>
      </w:pPr>
      <w:r>
        <w:rPr>
          <w:iCs/>
          <w:szCs w:val="28"/>
        </w:rPr>
        <w:t>Nguyên nhân:</w:t>
      </w:r>
    </w:p>
    <w:p w14:paraId="717918B6" w14:textId="77777777" w:rsidR="001977AB" w:rsidRPr="001977AB" w:rsidRDefault="001977AB" w:rsidP="001977AB">
      <w:pPr>
        <w:pStyle w:val="ListParagraph"/>
        <w:numPr>
          <w:ilvl w:val="0"/>
          <w:numId w:val="1"/>
        </w:numPr>
        <w:tabs>
          <w:tab w:val="left" w:pos="1134"/>
        </w:tabs>
        <w:spacing w:before="120" w:after="60" w:line="340" w:lineRule="exact"/>
        <w:ind w:left="0" w:firstLine="709"/>
        <w:jc w:val="both"/>
        <w:rPr>
          <w:bCs/>
          <w:szCs w:val="28"/>
          <w:lang w:val="vi-VN"/>
        </w:rPr>
      </w:pPr>
      <w:r w:rsidRPr="001977AB">
        <w:rPr>
          <w:rFonts w:cs="Times New Roman"/>
          <w:szCs w:val="28"/>
        </w:rPr>
        <w:t xml:space="preserve"> Kế thừa mức nộp theo quy định tại Nghị quyết số </w:t>
      </w:r>
      <w:r w:rsidRPr="001977AB">
        <w:rPr>
          <w:szCs w:val="28"/>
        </w:rPr>
        <w:t>44/2016/NQ-HĐND ngày 14/7/2016 quy định thu tiền bảo vệ, phát triển đất trồng lúa khi chuyển mục đích từ đất chuyên trồng lúa nước sang đất phi nông nghiệp trên</w:t>
      </w:r>
      <w:bookmarkStart w:id="2" w:name="_GoBack"/>
      <w:bookmarkEnd w:id="2"/>
      <w:r w:rsidRPr="001977AB">
        <w:rPr>
          <w:szCs w:val="28"/>
        </w:rPr>
        <w:t xml:space="preserve"> địa bàn tỉnh Bắc Kạn</w:t>
      </w:r>
      <w:r>
        <w:rPr>
          <w:szCs w:val="28"/>
        </w:rPr>
        <w:t xml:space="preserve"> đang áp dụng trước khi </w:t>
      </w:r>
      <w:r w:rsidRPr="00351B59">
        <w:rPr>
          <w:rFonts w:cs="Times New Roman"/>
          <w:spacing w:val="-2"/>
          <w:szCs w:val="28"/>
          <w:lang w:val="vi-VN"/>
        </w:rPr>
        <w:t>Nghị định số</w:t>
      </w:r>
      <w:r w:rsidRPr="00351B59">
        <w:rPr>
          <w:rFonts w:cs="Times New Roman"/>
          <w:spacing w:val="-2"/>
          <w:szCs w:val="28"/>
        </w:rPr>
        <w:t xml:space="preserve"> </w:t>
      </w:r>
      <w:r w:rsidRPr="00351B59">
        <w:rPr>
          <w:rFonts w:cs="Times New Roman"/>
          <w:spacing w:val="-2"/>
          <w:szCs w:val="28"/>
          <w:lang w:val="vi-VN"/>
        </w:rPr>
        <w:t>112</w:t>
      </w:r>
      <w:r>
        <w:rPr>
          <w:rFonts w:cs="Times New Roman"/>
          <w:spacing w:val="-2"/>
          <w:szCs w:val="28"/>
          <w:lang w:val="vi-VN"/>
        </w:rPr>
        <w:t>/2024/NĐ</w:t>
      </w:r>
      <w:r>
        <w:rPr>
          <w:rFonts w:cs="Times New Roman"/>
          <w:spacing w:val="-2"/>
          <w:szCs w:val="28"/>
        </w:rPr>
        <w:t>-</w:t>
      </w:r>
      <w:r w:rsidRPr="00351B59">
        <w:rPr>
          <w:rFonts w:cs="Times New Roman"/>
          <w:spacing w:val="-2"/>
          <w:szCs w:val="28"/>
          <w:lang w:val="vi-VN"/>
        </w:rPr>
        <w:t xml:space="preserve">CP </w:t>
      </w:r>
      <w:r>
        <w:rPr>
          <w:rFonts w:cs="Times New Roman"/>
          <w:spacing w:val="-2"/>
          <w:szCs w:val="28"/>
        </w:rPr>
        <w:t xml:space="preserve"> của Chính phủ có hiệu lực thi hành</w:t>
      </w:r>
      <w:r w:rsidRPr="001977AB">
        <w:rPr>
          <w:szCs w:val="28"/>
        </w:rPr>
        <w:t xml:space="preserve">. </w:t>
      </w:r>
      <w:r>
        <w:rPr>
          <w:szCs w:val="28"/>
        </w:rPr>
        <w:t>Theo đó, tại khoản 2 Nghị quyết số 44/2016/NQ-HĐND quy định mức thu tiền bảo vệ, phát triển đất trồng lúa như sau:</w:t>
      </w:r>
    </w:p>
    <w:p w14:paraId="4DB5E55E" w14:textId="77777777" w:rsidR="001977AB" w:rsidRPr="001977AB" w:rsidRDefault="001977AB" w:rsidP="001977AB">
      <w:pPr>
        <w:spacing w:before="120" w:after="60" w:line="340" w:lineRule="exact"/>
        <w:ind w:firstLine="709"/>
        <w:jc w:val="both"/>
        <w:rPr>
          <w:i/>
          <w:iCs/>
          <w:szCs w:val="28"/>
        </w:rPr>
      </w:pPr>
      <w:r w:rsidRPr="001977AB">
        <w:rPr>
          <w:i/>
          <w:iCs/>
          <w:szCs w:val="28"/>
        </w:rPr>
        <w:t>“Mức thu tiền bảo vệ, phát triển đất trồng lúa = 50% (x) diện tích (x) giá của loại đất trồng lúa.</w:t>
      </w:r>
    </w:p>
    <w:p w14:paraId="562D2CAD" w14:textId="77777777" w:rsidR="001977AB" w:rsidRPr="001977AB" w:rsidRDefault="001977AB" w:rsidP="001977AB">
      <w:pPr>
        <w:spacing w:before="120" w:after="60" w:line="340" w:lineRule="exact"/>
        <w:ind w:firstLine="709"/>
        <w:jc w:val="both"/>
        <w:rPr>
          <w:i/>
          <w:iCs/>
          <w:szCs w:val="28"/>
        </w:rPr>
      </w:pPr>
      <w:r w:rsidRPr="001977AB">
        <w:rPr>
          <w:i/>
          <w:iCs/>
          <w:szCs w:val="28"/>
        </w:rPr>
        <w:t>Trong đó:</w:t>
      </w:r>
    </w:p>
    <w:p w14:paraId="1E17C769" w14:textId="77777777" w:rsidR="001977AB" w:rsidRPr="001977AB" w:rsidRDefault="001977AB" w:rsidP="001977AB">
      <w:pPr>
        <w:spacing w:before="120" w:after="60" w:line="340" w:lineRule="exact"/>
        <w:ind w:firstLine="709"/>
        <w:jc w:val="both"/>
        <w:rPr>
          <w:i/>
          <w:iCs/>
          <w:szCs w:val="28"/>
        </w:rPr>
      </w:pPr>
      <w:r w:rsidRPr="001977AB">
        <w:rPr>
          <w:i/>
          <w:iCs/>
          <w:szCs w:val="28"/>
        </w:rPr>
        <w:t>Diện tích là phần diện tích đất chuyên trồng lúa nước chuyển sang đất phi nông nghiệp ghi cụ thể trong quyết định cho phép chuyển mục đích sử dụng đất từ đất chuyên trồng lúa nước sang đất phi nông nghiệp của cơ quan có thẩm quyền;</w:t>
      </w:r>
    </w:p>
    <w:p w14:paraId="1149C377" w14:textId="77777777" w:rsidR="001977AB" w:rsidRDefault="001977AB" w:rsidP="00A95031">
      <w:pPr>
        <w:spacing w:before="120" w:after="60" w:line="340" w:lineRule="exact"/>
        <w:ind w:firstLine="709"/>
        <w:jc w:val="both"/>
        <w:rPr>
          <w:i/>
          <w:iCs/>
          <w:szCs w:val="28"/>
        </w:rPr>
      </w:pPr>
      <w:r w:rsidRPr="001977AB">
        <w:rPr>
          <w:i/>
          <w:iCs/>
          <w:szCs w:val="28"/>
        </w:rPr>
        <w:t>Giá của loại đất trồng lúa tính theo Bảng giá đất đang áp dụng tại thời điểm chuyển mục đích sử dụng đất do Ủy ban nhân dân tỉnh ban hành.”</w:t>
      </w:r>
    </w:p>
    <w:p w14:paraId="55DC682C" w14:textId="60FCC48C" w:rsidR="00A95031" w:rsidRPr="00417F8C" w:rsidRDefault="00A95031" w:rsidP="00A95031">
      <w:pPr>
        <w:spacing w:before="120" w:after="60" w:line="340" w:lineRule="exact"/>
        <w:ind w:firstLine="709"/>
        <w:jc w:val="both"/>
        <w:rPr>
          <w:rFonts w:cs="Times New Roman"/>
          <w:spacing w:val="-6"/>
          <w:szCs w:val="28"/>
        </w:rPr>
      </w:pPr>
      <w:r w:rsidRPr="00417F8C">
        <w:rPr>
          <w:spacing w:val="-6"/>
          <w:szCs w:val="28"/>
        </w:rPr>
        <w:lastRenderedPageBreak/>
        <w:t xml:space="preserve">Mức thu này </w:t>
      </w:r>
      <w:r w:rsidR="00C13C67">
        <w:rPr>
          <w:spacing w:val="-6"/>
          <w:szCs w:val="28"/>
        </w:rPr>
        <w:t xml:space="preserve">cũng </w:t>
      </w:r>
      <w:r w:rsidRPr="00417F8C">
        <w:rPr>
          <w:spacing w:val="-6"/>
          <w:szCs w:val="28"/>
        </w:rPr>
        <w:t xml:space="preserve">phù hợp theo quy định tại khoản 1 Điều 12 </w:t>
      </w:r>
      <w:r w:rsidRPr="00417F8C">
        <w:rPr>
          <w:rFonts w:cs="Times New Roman"/>
          <w:spacing w:val="-6"/>
          <w:szCs w:val="28"/>
          <w:lang w:val="vi-VN"/>
        </w:rPr>
        <w:t>Nghị định số</w:t>
      </w:r>
      <w:r w:rsidRPr="00417F8C">
        <w:rPr>
          <w:rFonts w:cs="Times New Roman"/>
          <w:spacing w:val="-6"/>
          <w:szCs w:val="28"/>
        </w:rPr>
        <w:t xml:space="preserve"> </w:t>
      </w:r>
      <w:r w:rsidRPr="00417F8C">
        <w:rPr>
          <w:rFonts w:cs="Times New Roman"/>
          <w:spacing w:val="-6"/>
          <w:szCs w:val="28"/>
          <w:lang w:val="vi-VN"/>
        </w:rPr>
        <w:t>112/2024/NĐ</w:t>
      </w:r>
      <w:r w:rsidRPr="00417F8C">
        <w:rPr>
          <w:rFonts w:cs="Times New Roman"/>
          <w:spacing w:val="-6"/>
          <w:szCs w:val="28"/>
        </w:rPr>
        <w:t>-</w:t>
      </w:r>
      <w:r w:rsidRPr="00417F8C">
        <w:rPr>
          <w:rFonts w:cs="Times New Roman"/>
          <w:spacing w:val="-6"/>
          <w:szCs w:val="28"/>
          <w:lang w:val="vi-VN"/>
        </w:rPr>
        <w:t>CP</w:t>
      </w:r>
      <w:r w:rsidRPr="00417F8C">
        <w:rPr>
          <w:rFonts w:cs="Times New Roman"/>
          <w:spacing w:val="-6"/>
          <w:szCs w:val="28"/>
        </w:rPr>
        <w:t>, và phù hợp với tình hình điều kiện kinh tế - xã hội tại tỉnh Bắc Kạn.</w:t>
      </w:r>
    </w:p>
    <w:p w14:paraId="039545D1" w14:textId="24E2C056" w:rsidR="00D57DBE" w:rsidRDefault="00C13C67" w:rsidP="00A95031">
      <w:pPr>
        <w:spacing w:before="120" w:after="60" w:line="340" w:lineRule="exact"/>
        <w:ind w:firstLine="709"/>
        <w:jc w:val="both"/>
        <w:rPr>
          <w:rFonts w:cs="Times New Roman"/>
          <w:spacing w:val="-2"/>
          <w:szCs w:val="28"/>
        </w:rPr>
      </w:pPr>
      <w:r>
        <w:rPr>
          <w:rFonts w:cs="Times New Roman"/>
          <w:spacing w:val="-2"/>
          <w:szCs w:val="28"/>
        </w:rPr>
        <w:t>S</w:t>
      </w:r>
      <w:r w:rsidR="00D57DBE">
        <w:rPr>
          <w:rFonts w:cs="Times New Roman"/>
          <w:spacing w:val="-2"/>
          <w:szCs w:val="28"/>
        </w:rPr>
        <w:t xml:space="preserve">au khi Quyết định được ban hành, dự kiến số thu tiền đối với các đối tượng được nhà nước giao đất, cho thuê đất khi chuyển mục đích sử dụng đất từ đất chuyên trồng lúa sang mục đích phi nông nghiệp nộp ngân sách nhà nước sẽ giảm so với thời điểm trước khi Nghị định số </w:t>
      </w:r>
      <w:r w:rsidR="00D57DBE" w:rsidRPr="00351B59">
        <w:rPr>
          <w:rFonts w:cs="Times New Roman"/>
          <w:spacing w:val="-2"/>
          <w:szCs w:val="28"/>
          <w:lang w:val="vi-VN"/>
        </w:rPr>
        <w:t>112</w:t>
      </w:r>
      <w:r w:rsidR="00D57DBE">
        <w:rPr>
          <w:rFonts w:cs="Times New Roman"/>
          <w:spacing w:val="-2"/>
          <w:szCs w:val="28"/>
          <w:lang w:val="vi-VN"/>
        </w:rPr>
        <w:t>/2024/NĐ</w:t>
      </w:r>
      <w:r w:rsidR="00D57DBE">
        <w:rPr>
          <w:rFonts w:cs="Times New Roman"/>
          <w:spacing w:val="-2"/>
          <w:szCs w:val="28"/>
        </w:rPr>
        <w:t>-</w:t>
      </w:r>
      <w:r w:rsidR="00D57DBE" w:rsidRPr="00351B59">
        <w:rPr>
          <w:rFonts w:cs="Times New Roman"/>
          <w:spacing w:val="-2"/>
          <w:szCs w:val="28"/>
          <w:lang w:val="vi-VN"/>
        </w:rPr>
        <w:t xml:space="preserve">CP </w:t>
      </w:r>
      <w:r w:rsidR="00D57DBE">
        <w:rPr>
          <w:rFonts w:cs="Times New Roman"/>
          <w:spacing w:val="-2"/>
          <w:szCs w:val="28"/>
        </w:rPr>
        <w:t xml:space="preserve">của Chính phủ có hiệu lực, do hiện nay Nghị định quy định </w:t>
      </w:r>
      <w:r w:rsidR="00D57DBE" w:rsidRPr="00D57DBE">
        <w:rPr>
          <w:rFonts w:cs="Times New Roman"/>
          <w:spacing w:val="-2"/>
          <w:szCs w:val="28"/>
        </w:rPr>
        <w:t>các công trình, dự án sử dụng vốn đầu tư công hoặc vốn nhà nước ngoài đầu tư công theo quy định của pháp luật về đầu tư công, pháp luật về xây dựng</w:t>
      </w:r>
      <w:r w:rsidR="00D57DBE">
        <w:rPr>
          <w:rFonts w:cs="Times New Roman"/>
          <w:spacing w:val="-2"/>
          <w:szCs w:val="28"/>
        </w:rPr>
        <w:t xml:space="preserve"> không phải nộp khoản tiền này.</w:t>
      </w:r>
    </w:p>
    <w:p w14:paraId="011EE90D" w14:textId="77777777" w:rsidR="00A95031" w:rsidRPr="00A95031" w:rsidRDefault="00A95031" w:rsidP="00A95031">
      <w:pPr>
        <w:pStyle w:val="BodyTextIndent2"/>
        <w:ind w:firstLine="709"/>
        <w:rPr>
          <w:bCs/>
          <w:spacing w:val="2"/>
          <w:szCs w:val="28"/>
        </w:rPr>
      </w:pPr>
      <w:r>
        <w:rPr>
          <w:bCs/>
          <w:spacing w:val="2"/>
          <w:szCs w:val="28"/>
        </w:rPr>
        <w:t xml:space="preserve">(2) </w:t>
      </w:r>
      <w:r w:rsidRPr="00EA1756">
        <w:rPr>
          <w:bCs/>
          <w:spacing w:val="2"/>
          <w:szCs w:val="28"/>
        </w:rPr>
        <w:t xml:space="preserve">Tuy quy định chung một mức nộp tiền (50%) đối với tất cả các địa phương trên địa bàn tỉnh Bắc Kạn nhưng vẫn đảm bảo phù hợp với điều kiện riêng của từng khu vực, địa </w:t>
      </w:r>
      <w:r>
        <w:rPr>
          <w:bCs/>
          <w:spacing w:val="2"/>
          <w:szCs w:val="28"/>
        </w:rPr>
        <w:t>phương</w:t>
      </w:r>
      <w:r w:rsidRPr="00EA1756">
        <w:rPr>
          <w:bCs/>
          <w:spacing w:val="2"/>
          <w:szCs w:val="28"/>
        </w:rPr>
        <w:t xml:space="preserve"> </w:t>
      </w:r>
      <w:r>
        <w:rPr>
          <w:bCs/>
          <w:spacing w:val="2"/>
          <w:szCs w:val="28"/>
        </w:rPr>
        <w:t>do</w:t>
      </w:r>
      <w:r w:rsidRPr="00EA1756">
        <w:rPr>
          <w:bCs/>
          <w:spacing w:val="2"/>
          <w:szCs w:val="28"/>
        </w:rPr>
        <w:t xml:space="preserve"> Bảng giá đất </w:t>
      </w:r>
      <w:r>
        <w:rPr>
          <w:bCs/>
          <w:spacing w:val="2"/>
          <w:szCs w:val="28"/>
        </w:rPr>
        <w:t xml:space="preserve">do UBND tỉnh ban hành </w:t>
      </w:r>
      <w:r w:rsidRPr="00EA1756">
        <w:rPr>
          <w:bCs/>
          <w:spacing w:val="2"/>
          <w:szCs w:val="28"/>
        </w:rPr>
        <w:t>đã quy định mức giá đất chuyên trồng lúa</w:t>
      </w:r>
      <w:r>
        <w:rPr>
          <w:bCs/>
          <w:spacing w:val="2"/>
          <w:szCs w:val="28"/>
        </w:rPr>
        <w:t xml:space="preserve"> khác nhau đối với</w:t>
      </w:r>
      <w:r w:rsidRPr="00EA1756">
        <w:rPr>
          <w:bCs/>
          <w:spacing w:val="2"/>
          <w:szCs w:val="28"/>
        </w:rPr>
        <w:t xml:space="preserve"> từng khu vực, </w:t>
      </w:r>
      <w:r>
        <w:rPr>
          <w:bCs/>
          <w:spacing w:val="2"/>
          <w:szCs w:val="28"/>
        </w:rPr>
        <w:t>địa phương trên địa bàn tỉnh</w:t>
      </w:r>
      <w:r w:rsidRPr="00EA1756">
        <w:rPr>
          <w:bCs/>
          <w:spacing w:val="2"/>
          <w:szCs w:val="28"/>
        </w:rPr>
        <w:t xml:space="preserve">. </w:t>
      </w:r>
    </w:p>
    <w:p w14:paraId="19DF552B" w14:textId="77777777" w:rsidR="00A95031" w:rsidRDefault="00A95031" w:rsidP="00A95031">
      <w:pPr>
        <w:pStyle w:val="BodyTextIndent2"/>
        <w:ind w:firstLine="709"/>
        <w:rPr>
          <w:b/>
          <w:bCs/>
          <w:spacing w:val="2"/>
          <w:szCs w:val="28"/>
        </w:rPr>
      </w:pPr>
      <w:r w:rsidRPr="00A95031">
        <w:rPr>
          <w:b/>
          <w:spacing w:val="2"/>
          <w:szCs w:val="28"/>
        </w:rPr>
        <w:t xml:space="preserve">2. Về </w:t>
      </w:r>
      <w:bookmarkStart w:id="3" w:name="dieu_13"/>
      <w:r w:rsidRPr="00A95031">
        <w:rPr>
          <w:b/>
          <w:spacing w:val="2"/>
          <w:szCs w:val="28"/>
        </w:rPr>
        <w:t>trình</w:t>
      </w:r>
      <w:r w:rsidRPr="00A95031">
        <w:rPr>
          <w:b/>
          <w:bCs/>
          <w:spacing w:val="2"/>
          <w:szCs w:val="28"/>
        </w:rPr>
        <w:t xml:space="preserve"> tự, thủ tục nộp tiền để nhà nước bổ sung diện tích đất chuyên trồng lúa bị mất hoặc tăng hiệu quả sử dụng đất trồng lúa</w:t>
      </w:r>
      <w:bookmarkEnd w:id="3"/>
      <w:r>
        <w:rPr>
          <w:b/>
          <w:bCs/>
          <w:spacing w:val="2"/>
          <w:szCs w:val="28"/>
        </w:rPr>
        <w:t xml:space="preserve"> sau khi Quyết định được ban hành:</w:t>
      </w:r>
    </w:p>
    <w:p w14:paraId="27D30400" w14:textId="29F9567F" w:rsidR="00A95031" w:rsidRPr="00A95031" w:rsidRDefault="00A95031" w:rsidP="00A95031">
      <w:pPr>
        <w:pStyle w:val="BodyTextIndent2"/>
        <w:ind w:firstLine="709"/>
        <w:rPr>
          <w:spacing w:val="2"/>
          <w:szCs w:val="28"/>
        </w:rPr>
      </w:pPr>
      <w:r w:rsidRPr="00A95031">
        <w:rPr>
          <w:spacing w:val="2"/>
          <w:szCs w:val="28"/>
        </w:rPr>
        <w:t xml:space="preserve">Thực hiện theo quy định tại Điều 13 </w:t>
      </w:r>
      <w:r w:rsidRPr="00A95031">
        <w:rPr>
          <w:spacing w:val="-2"/>
          <w:szCs w:val="28"/>
          <w:lang w:val="vi-VN" w:eastAsia="en-US"/>
        </w:rPr>
        <w:t>Nghị định số</w:t>
      </w:r>
      <w:r w:rsidRPr="00A95031">
        <w:rPr>
          <w:spacing w:val="-2"/>
          <w:szCs w:val="28"/>
          <w:lang w:eastAsia="en-US"/>
        </w:rPr>
        <w:t xml:space="preserve"> </w:t>
      </w:r>
      <w:r w:rsidRPr="00A95031">
        <w:rPr>
          <w:spacing w:val="-2"/>
          <w:szCs w:val="28"/>
          <w:lang w:val="vi-VN" w:eastAsia="en-US"/>
        </w:rPr>
        <w:t>112/2024/NĐ</w:t>
      </w:r>
      <w:r w:rsidRPr="00A95031">
        <w:rPr>
          <w:spacing w:val="-2"/>
          <w:szCs w:val="28"/>
          <w:lang w:eastAsia="en-US"/>
        </w:rPr>
        <w:t>-</w:t>
      </w:r>
      <w:r w:rsidRPr="00A95031">
        <w:rPr>
          <w:spacing w:val="-2"/>
          <w:szCs w:val="28"/>
          <w:lang w:val="vi-VN" w:eastAsia="en-US"/>
        </w:rPr>
        <w:t>CP</w:t>
      </w:r>
      <w:r w:rsidRPr="00A95031">
        <w:rPr>
          <w:spacing w:val="-2"/>
          <w:szCs w:val="28"/>
          <w:lang w:eastAsia="en-US"/>
        </w:rPr>
        <w:t>, theo đó</w:t>
      </w:r>
      <w:r>
        <w:rPr>
          <w:spacing w:val="-2"/>
          <w:szCs w:val="28"/>
          <w:lang w:eastAsia="en-US"/>
        </w:rPr>
        <w:t xml:space="preserve"> Điều này</w:t>
      </w:r>
      <w:r w:rsidRPr="00A95031">
        <w:rPr>
          <w:spacing w:val="-2"/>
          <w:szCs w:val="28"/>
          <w:lang w:eastAsia="en-US"/>
        </w:rPr>
        <w:t xml:space="preserve"> đã quy định đầy đủ về hồ sơ, trình tự, thủ tục, thời hạn nộp tiền đối với </w:t>
      </w:r>
      <w:r w:rsidR="00C13C67">
        <w:rPr>
          <w:spacing w:val="-2"/>
          <w:szCs w:val="28"/>
          <w:lang w:eastAsia="en-US"/>
        </w:rPr>
        <w:t>n</w:t>
      </w:r>
      <w:r w:rsidRPr="00A95031">
        <w:rPr>
          <w:spacing w:val="-2"/>
          <w:szCs w:val="28"/>
          <w:lang w:eastAsia="en-US"/>
        </w:rPr>
        <w:t>gười được nhà nước giao đất, cho thuê đất</w:t>
      </w:r>
      <w:r>
        <w:rPr>
          <w:spacing w:val="-2"/>
          <w:szCs w:val="28"/>
          <w:lang w:eastAsia="en-US"/>
        </w:rPr>
        <w:t>.</w:t>
      </w:r>
    </w:p>
    <w:p w14:paraId="654D4DE0" w14:textId="77777777" w:rsidR="001977AB" w:rsidRDefault="001977AB" w:rsidP="00CA35C2">
      <w:pPr>
        <w:pStyle w:val="BodyText"/>
        <w:spacing w:before="120"/>
        <w:ind w:firstLine="709"/>
        <w:rPr>
          <w:bCs/>
          <w:szCs w:val="28"/>
        </w:rPr>
      </w:pPr>
    </w:p>
    <w:p w14:paraId="61B172B6" w14:textId="77777777" w:rsidR="001977AB" w:rsidRDefault="001977AB" w:rsidP="00CA35C2">
      <w:pPr>
        <w:pStyle w:val="BodyText"/>
        <w:spacing w:before="120"/>
        <w:ind w:firstLine="709"/>
        <w:rPr>
          <w:bCs/>
          <w:szCs w:val="28"/>
        </w:rPr>
      </w:pPr>
    </w:p>
    <w:p w14:paraId="6F8A9AAA" w14:textId="77777777" w:rsidR="001977AB" w:rsidRDefault="001977AB" w:rsidP="00CA35C2">
      <w:pPr>
        <w:pStyle w:val="BodyText"/>
        <w:spacing w:before="120"/>
        <w:ind w:firstLine="709"/>
        <w:rPr>
          <w:bCs/>
          <w:szCs w:val="28"/>
        </w:rPr>
      </w:pPr>
    </w:p>
    <w:p w14:paraId="335C50D6" w14:textId="77777777" w:rsidR="001977AB" w:rsidRDefault="001977AB" w:rsidP="00CA35C2">
      <w:pPr>
        <w:pStyle w:val="BodyText"/>
        <w:spacing w:before="120"/>
        <w:ind w:firstLine="709"/>
        <w:rPr>
          <w:bCs/>
          <w:szCs w:val="28"/>
        </w:rPr>
      </w:pPr>
    </w:p>
    <w:p w14:paraId="7795FCED" w14:textId="77777777" w:rsidR="00CA35C2" w:rsidRDefault="00CA35C2" w:rsidP="00CA35C2">
      <w:pPr>
        <w:rPr>
          <w:sz w:val="22"/>
          <w:lang w:val="es-ES"/>
        </w:rPr>
      </w:pPr>
      <w:r>
        <w:rPr>
          <w:sz w:val="22"/>
          <w:lang w:val="es-ES"/>
        </w:rPr>
        <w:tab/>
      </w:r>
      <w:r>
        <w:rPr>
          <w:sz w:val="22"/>
          <w:lang w:val="es-ES"/>
        </w:rPr>
        <w:tab/>
      </w:r>
    </w:p>
    <w:p w14:paraId="50151279" w14:textId="77777777" w:rsidR="00CE7389" w:rsidRDefault="00CE7389"/>
    <w:sectPr w:rsidR="00CE7389" w:rsidSect="006D0750">
      <w:headerReference w:type="default" r:id="rId7"/>
      <w:footerReference w:type="default" r:id="rId8"/>
      <w:pgSz w:w="11906" w:h="16838" w:code="9"/>
      <w:pgMar w:top="1134" w:right="851" w:bottom="1134" w:left="1701" w:header="680" w:footer="6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CC2F" w14:textId="77777777" w:rsidR="00EE005E" w:rsidRDefault="00EE005E" w:rsidP="00CA35C2">
      <w:pPr>
        <w:spacing w:after="0" w:line="240" w:lineRule="auto"/>
      </w:pPr>
      <w:r>
        <w:separator/>
      </w:r>
    </w:p>
  </w:endnote>
  <w:endnote w:type="continuationSeparator" w:id="0">
    <w:p w14:paraId="217C8048" w14:textId="77777777" w:rsidR="00EE005E" w:rsidRDefault="00EE005E" w:rsidP="00CA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933E" w14:textId="77777777" w:rsidR="00681E64" w:rsidRDefault="00681E64">
    <w:pPr>
      <w:pStyle w:val="Footer"/>
      <w:jc w:val="center"/>
    </w:pPr>
  </w:p>
  <w:p w14:paraId="19D38FDC" w14:textId="77777777" w:rsidR="00681E64" w:rsidRDefault="00681E6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DF984" w14:textId="77777777" w:rsidR="00EE005E" w:rsidRDefault="00EE005E" w:rsidP="00CA35C2">
      <w:pPr>
        <w:spacing w:after="0" w:line="240" w:lineRule="auto"/>
      </w:pPr>
      <w:r>
        <w:separator/>
      </w:r>
    </w:p>
  </w:footnote>
  <w:footnote w:type="continuationSeparator" w:id="0">
    <w:p w14:paraId="5C6663C8" w14:textId="77777777" w:rsidR="00EE005E" w:rsidRDefault="00EE005E" w:rsidP="00CA3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83667"/>
      <w:docPartObj>
        <w:docPartGallery w:val="Page Numbers (Top of Page)"/>
        <w:docPartUnique/>
      </w:docPartObj>
    </w:sdtPr>
    <w:sdtEndPr>
      <w:rPr>
        <w:noProof/>
      </w:rPr>
    </w:sdtEndPr>
    <w:sdtContent>
      <w:p w14:paraId="7A56A8B7" w14:textId="76771BEF" w:rsidR="00681E64" w:rsidRDefault="00EE005E">
        <w:pPr>
          <w:pStyle w:val="Header"/>
          <w:jc w:val="center"/>
        </w:pPr>
        <w:r>
          <w:fldChar w:fldCharType="begin"/>
        </w:r>
        <w:r>
          <w:instrText xml:space="preserve"> PAGE   \* MERGEFORMAT </w:instrText>
        </w:r>
        <w:r>
          <w:fldChar w:fldCharType="separate"/>
        </w:r>
        <w:r w:rsidR="006D0750">
          <w:rPr>
            <w:noProof/>
          </w:rPr>
          <w:t>2</w:t>
        </w:r>
        <w:r>
          <w:rPr>
            <w:noProof/>
          </w:rPr>
          <w:fldChar w:fldCharType="end"/>
        </w:r>
      </w:p>
    </w:sdtContent>
  </w:sdt>
  <w:p w14:paraId="699378BA" w14:textId="77777777" w:rsidR="00681E64" w:rsidRDefault="00681E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862CD"/>
    <w:multiLevelType w:val="hybridMultilevel"/>
    <w:tmpl w:val="CD8896B4"/>
    <w:lvl w:ilvl="0" w:tplc="8FCC12AC">
      <w:start w:val="1"/>
      <w:numFmt w:val="decimal"/>
      <w:lvlText w:val="(%1)"/>
      <w:lvlJc w:val="left"/>
      <w:pPr>
        <w:ind w:left="1069" w:hanging="360"/>
      </w:pPr>
      <w:rPr>
        <w:rFonts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C2"/>
    <w:rsid w:val="001977AB"/>
    <w:rsid w:val="00417F8C"/>
    <w:rsid w:val="0059432F"/>
    <w:rsid w:val="006625AA"/>
    <w:rsid w:val="00681E64"/>
    <w:rsid w:val="006D0750"/>
    <w:rsid w:val="00716553"/>
    <w:rsid w:val="007E39A2"/>
    <w:rsid w:val="007F5E92"/>
    <w:rsid w:val="009D7FB1"/>
    <w:rsid w:val="00A95031"/>
    <w:rsid w:val="00C13C67"/>
    <w:rsid w:val="00C30654"/>
    <w:rsid w:val="00CA35C2"/>
    <w:rsid w:val="00CB558C"/>
    <w:rsid w:val="00CE7389"/>
    <w:rsid w:val="00D57DBE"/>
    <w:rsid w:val="00E05CA1"/>
    <w:rsid w:val="00EE005E"/>
    <w:rsid w:val="00F7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FAC4"/>
  <w15:chartTrackingRefBased/>
  <w15:docId w15:val="{FBEF2A35-2F23-4047-92A8-73F70358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Char Char25 Char"/>
    <w:link w:val="NormalWeb"/>
    <w:uiPriority w:val="99"/>
    <w:qFormat/>
    <w:locked/>
    <w:rsid w:val="00CA35C2"/>
    <w:rPr>
      <w:rFonts w:ascii="VNI-Times" w:hAnsi="VNI-Times" w:cs="VNI-Times"/>
      <w:sz w:val="24"/>
      <w:szCs w:val="24"/>
      <w:lang w:eastAsia="zh-CN"/>
    </w:rPr>
  </w:style>
  <w:style w:type="paragraph" w:styleId="NormalWeb">
    <w:name w:val="Normal (Web)"/>
    <w:aliases w:val="Char Char Char Char Char Char Char Char Char Char Char,Char Char25"/>
    <w:basedOn w:val="Normal"/>
    <w:link w:val="NormalWebChar"/>
    <w:uiPriority w:val="99"/>
    <w:qFormat/>
    <w:rsid w:val="00CA35C2"/>
    <w:pPr>
      <w:suppressAutoHyphens/>
      <w:spacing w:before="280" w:after="280" w:line="240" w:lineRule="auto"/>
    </w:pPr>
    <w:rPr>
      <w:rFonts w:ascii="VNI-Times" w:hAnsi="VNI-Times" w:cs="VNI-Times"/>
      <w:sz w:val="24"/>
      <w:szCs w:val="24"/>
      <w:lang w:eastAsia="zh-CN"/>
    </w:rPr>
  </w:style>
  <w:style w:type="character" w:customStyle="1" w:styleId="HeaderChar">
    <w:name w:val="Header Char"/>
    <w:basedOn w:val="DefaultParagraphFont"/>
    <w:link w:val="Header"/>
    <w:uiPriority w:val="99"/>
    <w:qFormat/>
    <w:rsid w:val="00CA35C2"/>
    <w:rPr>
      <w:sz w:val="24"/>
      <w:szCs w:val="24"/>
      <w:lang w:eastAsia="zh-CN"/>
    </w:rPr>
  </w:style>
  <w:style w:type="paragraph" w:styleId="Header">
    <w:name w:val="header"/>
    <w:basedOn w:val="Normal"/>
    <w:link w:val="HeaderChar"/>
    <w:uiPriority w:val="99"/>
    <w:unhideWhenUsed/>
    <w:rsid w:val="00CA35C2"/>
    <w:pPr>
      <w:tabs>
        <w:tab w:val="center" w:pos="4680"/>
        <w:tab w:val="right" w:pos="9360"/>
      </w:tabs>
      <w:suppressAutoHyphens/>
      <w:spacing w:after="0" w:line="240" w:lineRule="auto"/>
    </w:pPr>
    <w:rPr>
      <w:sz w:val="24"/>
      <w:szCs w:val="24"/>
      <w:lang w:eastAsia="zh-CN"/>
    </w:rPr>
  </w:style>
  <w:style w:type="character" w:customStyle="1" w:styleId="HeaderChar1">
    <w:name w:val="Header Char1"/>
    <w:basedOn w:val="DefaultParagraphFont"/>
    <w:uiPriority w:val="99"/>
    <w:semiHidden/>
    <w:rsid w:val="00CA35C2"/>
  </w:style>
  <w:style w:type="character" w:customStyle="1" w:styleId="FooterChar">
    <w:name w:val="Footer Char"/>
    <w:basedOn w:val="DefaultParagraphFont"/>
    <w:link w:val="Footer"/>
    <w:uiPriority w:val="99"/>
    <w:qFormat/>
    <w:rsid w:val="00CA35C2"/>
    <w:rPr>
      <w:sz w:val="24"/>
      <w:szCs w:val="24"/>
      <w:lang w:eastAsia="zh-CN"/>
    </w:rPr>
  </w:style>
  <w:style w:type="paragraph" w:styleId="Footer">
    <w:name w:val="footer"/>
    <w:basedOn w:val="Normal"/>
    <w:link w:val="FooterChar"/>
    <w:uiPriority w:val="99"/>
    <w:rsid w:val="00CA35C2"/>
    <w:pPr>
      <w:tabs>
        <w:tab w:val="center" w:pos="4320"/>
        <w:tab w:val="right" w:pos="8640"/>
      </w:tabs>
      <w:suppressAutoHyphens/>
      <w:spacing w:after="0" w:line="240" w:lineRule="auto"/>
    </w:pPr>
    <w:rPr>
      <w:sz w:val="24"/>
      <w:szCs w:val="24"/>
      <w:lang w:eastAsia="zh-CN"/>
    </w:rPr>
  </w:style>
  <w:style w:type="character" w:customStyle="1" w:styleId="FooterChar1">
    <w:name w:val="Footer Char1"/>
    <w:basedOn w:val="DefaultParagraphFont"/>
    <w:uiPriority w:val="99"/>
    <w:semiHidden/>
    <w:rsid w:val="00CA35C2"/>
  </w:style>
  <w:style w:type="paragraph" w:styleId="BodyText">
    <w:name w:val="Body Text"/>
    <w:basedOn w:val="Normal"/>
    <w:link w:val="BodyTextChar"/>
    <w:rsid w:val="00CA35C2"/>
    <w:pPr>
      <w:suppressAutoHyphens/>
      <w:spacing w:after="0" w:line="240" w:lineRule="auto"/>
      <w:jc w:val="both"/>
    </w:pPr>
    <w:rPr>
      <w:rFonts w:eastAsia="Times New Roman" w:cs="Times New Roman"/>
      <w:kern w:val="0"/>
      <w:szCs w:val="20"/>
      <w:lang w:eastAsia="zh-CN"/>
      <w14:ligatures w14:val="none"/>
    </w:rPr>
  </w:style>
  <w:style w:type="character" w:customStyle="1" w:styleId="BodyTextChar">
    <w:name w:val="Body Text Char"/>
    <w:basedOn w:val="DefaultParagraphFont"/>
    <w:link w:val="BodyText"/>
    <w:rsid w:val="00CA35C2"/>
    <w:rPr>
      <w:rFonts w:eastAsia="Times New Roman" w:cs="Times New Roman"/>
      <w:kern w:val="0"/>
      <w:szCs w:val="20"/>
      <w:lang w:eastAsia="zh-CN"/>
      <w14:ligatures w14:val="none"/>
    </w:rPr>
  </w:style>
  <w:style w:type="paragraph" w:styleId="BodyTextIndent2">
    <w:name w:val="Body Text Indent 2"/>
    <w:basedOn w:val="Normal"/>
    <w:link w:val="BodyTextIndent2Char"/>
    <w:qFormat/>
    <w:rsid w:val="00CA35C2"/>
    <w:pPr>
      <w:suppressAutoHyphens/>
      <w:spacing w:before="120" w:after="0" w:line="240" w:lineRule="auto"/>
      <w:ind w:firstLine="567"/>
      <w:jc w:val="both"/>
    </w:pPr>
    <w:rPr>
      <w:rFonts w:eastAsia="Times New Roman" w:cs="Times New Roman"/>
      <w:kern w:val="0"/>
      <w:szCs w:val="20"/>
      <w:lang w:eastAsia="zh-CN"/>
      <w14:ligatures w14:val="none"/>
    </w:rPr>
  </w:style>
  <w:style w:type="character" w:customStyle="1" w:styleId="BodyTextIndent2Char">
    <w:name w:val="Body Text Indent 2 Char"/>
    <w:basedOn w:val="DefaultParagraphFont"/>
    <w:link w:val="BodyTextIndent2"/>
    <w:rsid w:val="00CA35C2"/>
    <w:rPr>
      <w:rFonts w:eastAsia="Times New Roman" w:cs="Times New Roman"/>
      <w:kern w:val="0"/>
      <w:szCs w:val="20"/>
      <w:lang w:eastAsia="zh-CN"/>
      <w14:ligatures w14:val="none"/>
    </w:rPr>
  </w:style>
  <w:style w:type="paragraph" w:styleId="FootnoteText">
    <w:name w:val="footnote text"/>
    <w:basedOn w:val="Normal"/>
    <w:link w:val="FootnoteTextChar"/>
    <w:rsid w:val="00CA35C2"/>
    <w:pPr>
      <w:spacing w:after="0" w:line="240" w:lineRule="auto"/>
    </w:pPr>
    <w:rPr>
      <w:rFonts w:ascii="VNI-Times" w:eastAsia="Times New Roman" w:hAnsi="VNI-Times" w:cs="Times New Roman"/>
      <w:kern w:val="0"/>
      <w:sz w:val="20"/>
      <w:szCs w:val="20"/>
      <w14:ligatures w14:val="none"/>
    </w:rPr>
  </w:style>
  <w:style w:type="character" w:customStyle="1" w:styleId="FootnoteTextChar">
    <w:name w:val="Footnote Text Char"/>
    <w:basedOn w:val="DefaultParagraphFont"/>
    <w:link w:val="FootnoteText"/>
    <w:rsid w:val="00CA35C2"/>
    <w:rPr>
      <w:rFonts w:ascii="VNI-Times" w:eastAsia="Times New Roman" w:hAnsi="VNI-Times" w:cs="Times New Roman"/>
      <w:kern w:val="0"/>
      <w:sz w:val="20"/>
      <w:szCs w:val="20"/>
      <w14:ligatures w14:val="none"/>
    </w:rPr>
  </w:style>
  <w:style w:type="character" w:styleId="FootnoteReference">
    <w:name w:val="footnote reference"/>
    <w:rsid w:val="00CA35C2"/>
    <w:rPr>
      <w:vertAlign w:val="superscript"/>
    </w:rPr>
  </w:style>
  <w:style w:type="paragraph" w:styleId="ListParagraph">
    <w:name w:val="List Paragraph"/>
    <w:basedOn w:val="Normal"/>
    <w:uiPriority w:val="34"/>
    <w:qFormat/>
    <w:rsid w:val="00197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2024-11-20T10:32:00Z</dcterms:created>
  <dcterms:modified xsi:type="dcterms:W3CDTF">2024-11-21T01:55:00Z</dcterms:modified>
</cp:coreProperties>
</file>