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68B39" w14:textId="4978A0E0" w:rsidR="00F528D0" w:rsidRPr="00F528D0" w:rsidRDefault="00057C82" w:rsidP="00011AEC">
      <w:pPr>
        <w:widowControl w:val="0"/>
        <w:spacing w:beforeLines="60" w:before="144" w:afterLines="60" w:after="144" w:line="360" w:lineRule="exact"/>
        <w:jc w:val="center"/>
        <w:rPr>
          <w:b/>
          <w:sz w:val="28"/>
          <w:szCs w:val="28"/>
        </w:rPr>
      </w:pPr>
      <w:r w:rsidRPr="000D70A9">
        <w:rPr>
          <w:i/>
          <w:noProof/>
          <w:color w:val="000000" w:themeColor="text1"/>
          <w:sz w:val="28"/>
          <w:szCs w:val="28"/>
        </w:rPr>
        <mc:AlternateContent>
          <mc:Choice Requires="wps">
            <w:drawing>
              <wp:anchor distT="0" distB="0" distL="114300" distR="114300" simplePos="0" relativeHeight="251660288" behindDoc="0" locked="0" layoutInCell="1" allowOverlap="1" wp14:anchorId="198FC638" wp14:editId="28D4671D">
                <wp:simplePos x="0" y="0"/>
                <wp:positionH relativeFrom="column">
                  <wp:posOffset>1786890</wp:posOffset>
                </wp:positionH>
                <wp:positionV relativeFrom="paragraph">
                  <wp:posOffset>1019479</wp:posOffset>
                </wp:positionV>
                <wp:extent cx="2214245" cy="0"/>
                <wp:effectExtent l="0" t="0" r="14605" b="19050"/>
                <wp:wrapNone/>
                <wp:docPr id="357668048" name="Đường nối Thẳng 1"/>
                <wp:cNvGraphicFramePr/>
                <a:graphic xmlns:a="http://schemas.openxmlformats.org/drawingml/2006/main">
                  <a:graphicData uri="http://schemas.microsoft.com/office/word/2010/wordprocessingShape">
                    <wps:wsp>
                      <wps:cNvCnPr/>
                      <wps:spPr>
                        <a:xfrm>
                          <a:off x="0" y="0"/>
                          <a:ext cx="2214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D8348" id="Đường nối Thẳ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80.25pt" to="315.0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" strokecolor="black [3213]"/>
            </w:pict>
          </mc:Fallback>
        </mc:AlternateContent>
      </w:r>
      <w:r w:rsidR="008611A1" w:rsidRPr="000D70A9">
        <w:rPr>
          <w:b/>
          <w:color w:val="000000" w:themeColor="text1"/>
          <w:sz w:val="28"/>
          <w:szCs w:val="28"/>
          <w:lang w:val="vi-VN"/>
        </w:rPr>
        <w:t xml:space="preserve">Thuyết minh dự thảo Nghị quyết </w:t>
      </w:r>
      <w:r w:rsidR="00F528D0" w:rsidRPr="00F528D0">
        <w:rPr>
          <w:b/>
          <w:sz w:val="28"/>
          <w:szCs w:val="28"/>
          <w:highlight w:val="white"/>
        </w:rPr>
        <w:t>sửa đổi, bổ sung một số điều của quy định ban hành kèm theo Nghị quyết số 02/2022/NQ-HĐND ngày 27/4/2022 của HĐND tỉnh Bắc Kạn (sửa đổi, bổ sung tại Nghị quyết số 18/2022/NQ-HĐND ngày 09/12/2022 của HĐND tỉnh)</w:t>
      </w:r>
    </w:p>
    <w:p w14:paraId="06FBC9DB" w14:textId="247F7A04" w:rsidR="00311F38" w:rsidRPr="000D70A9" w:rsidRDefault="00F528D0" w:rsidP="00011AEC">
      <w:pPr>
        <w:widowControl w:val="0"/>
        <w:spacing w:beforeLines="60" w:before="144" w:afterLines="60" w:after="144" w:line="360" w:lineRule="exact"/>
        <w:jc w:val="center"/>
        <w:rPr>
          <w:i/>
          <w:color w:val="000000" w:themeColor="text1"/>
          <w:sz w:val="28"/>
          <w:szCs w:val="28"/>
          <w:lang w:val="vi-VN"/>
        </w:rPr>
      </w:pPr>
      <w:r w:rsidRPr="000D70A9">
        <w:rPr>
          <w:i/>
          <w:color w:val="000000" w:themeColor="text1"/>
          <w:sz w:val="28"/>
          <w:szCs w:val="28"/>
          <w:lang w:val="vi-VN"/>
        </w:rPr>
        <w:t xml:space="preserve"> </w:t>
      </w:r>
      <w:r w:rsidR="00311F38" w:rsidRPr="000D70A9">
        <w:rPr>
          <w:i/>
          <w:color w:val="000000" w:themeColor="text1"/>
          <w:sz w:val="28"/>
          <w:szCs w:val="28"/>
          <w:lang w:val="vi-VN"/>
        </w:rPr>
        <w:t xml:space="preserve">(Kèm theo </w:t>
      </w:r>
      <w:r w:rsidR="007C69F3" w:rsidRPr="000D70A9">
        <w:rPr>
          <w:i/>
          <w:color w:val="000000" w:themeColor="text1"/>
          <w:sz w:val="28"/>
          <w:szCs w:val="28"/>
          <w:lang w:val="vi-VN"/>
        </w:rPr>
        <w:t>T</w:t>
      </w:r>
      <w:r w:rsidR="00311F38" w:rsidRPr="000D70A9">
        <w:rPr>
          <w:i/>
          <w:color w:val="000000" w:themeColor="text1"/>
          <w:sz w:val="28"/>
          <w:szCs w:val="28"/>
          <w:lang w:val="vi-VN"/>
        </w:rPr>
        <w:t xml:space="preserve">ờ trình số: </w:t>
      </w:r>
      <w:r w:rsidR="007C69F3" w:rsidRPr="000D70A9">
        <w:rPr>
          <w:i/>
          <w:color w:val="000000" w:themeColor="text1"/>
          <w:sz w:val="28"/>
          <w:szCs w:val="28"/>
          <w:lang w:val="vi-VN"/>
        </w:rPr>
        <w:t xml:space="preserve">  </w:t>
      </w:r>
      <w:r w:rsidR="009B5B0C" w:rsidRPr="000D70A9">
        <w:rPr>
          <w:i/>
          <w:color w:val="000000" w:themeColor="text1"/>
          <w:sz w:val="28"/>
          <w:szCs w:val="28"/>
          <w:lang w:val="vi-VN"/>
        </w:rPr>
        <w:t xml:space="preserve"> </w:t>
      </w:r>
      <w:r w:rsidR="00613A47" w:rsidRPr="000D70A9">
        <w:rPr>
          <w:i/>
          <w:color w:val="000000" w:themeColor="text1"/>
          <w:sz w:val="28"/>
          <w:szCs w:val="28"/>
        </w:rPr>
        <w:t xml:space="preserve"> </w:t>
      </w:r>
      <w:r w:rsidR="008611A1" w:rsidRPr="000D70A9">
        <w:rPr>
          <w:i/>
          <w:color w:val="000000" w:themeColor="text1"/>
          <w:sz w:val="28"/>
          <w:szCs w:val="28"/>
          <w:lang w:val="vi-VN"/>
        </w:rPr>
        <w:t xml:space="preserve">  </w:t>
      </w:r>
      <w:r w:rsidR="007C69F3" w:rsidRPr="000D70A9">
        <w:rPr>
          <w:i/>
          <w:color w:val="000000" w:themeColor="text1"/>
          <w:sz w:val="28"/>
          <w:szCs w:val="28"/>
          <w:lang w:val="vi-VN"/>
        </w:rPr>
        <w:t xml:space="preserve"> /TTr-UBND ngày</w:t>
      </w:r>
      <w:r w:rsidR="008611A1" w:rsidRPr="000D70A9">
        <w:rPr>
          <w:i/>
          <w:color w:val="000000" w:themeColor="text1"/>
          <w:sz w:val="28"/>
          <w:szCs w:val="28"/>
          <w:lang w:val="vi-VN"/>
        </w:rPr>
        <w:t xml:space="preserve">   </w:t>
      </w:r>
      <w:r w:rsidR="00D84874" w:rsidRPr="000D70A9">
        <w:rPr>
          <w:i/>
          <w:color w:val="000000" w:themeColor="text1"/>
          <w:sz w:val="28"/>
          <w:szCs w:val="28"/>
          <w:lang w:val="vi-VN"/>
        </w:rPr>
        <w:t xml:space="preserve">  </w:t>
      </w:r>
      <w:r w:rsidR="008611A1" w:rsidRPr="000D70A9">
        <w:rPr>
          <w:i/>
          <w:color w:val="000000" w:themeColor="text1"/>
          <w:sz w:val="28"/>
          <w:szCs w:val="28"/>
          <w:lang w:val="vi-VN"/>
        </w:rPr>
        <w:t xml:space="preserve"> </w:t>
      </w:r>
      <w:r w:rsidR="007C69F3" w:rsidRPr="000D70A9">
        <w:rPr>
          <w:i/>
          <w:color w:val="000000" w:themeColor="text1"/>
          <w:sz w:val="28"/>
          <w:szCs w:val="28"/>
          <w:lang w:val="vi-VN"/>
        </w:rPr>
        <w:t xml:space="preserve"> /</w:t>
      </w:r>
      <w:r w:rsidR="00E55C9E" w:rsidRPr="000D70A9">
        <w:rPr>
          <w:i/>
          <w:color w:val="000000" w:themeColor="text1"/>
          <w:sz w:val="28"/>
          <w:szCs w:val="28"/>
        </w:rPr>
        <w:t>8</w:t>
      </w:r>
      <w:r w:rsidR="007C69F3" w:rsidRPr="000D70A9">
        <w:rPr>
          <w:i/>
          <w:color w:val="000000" w:themeColor="text1"/>
          <w:sz w:val="28"/>
          <w:szCs w:val="28"/>
          <w:lang w:val="vi-VN"/>
        </w:rPr>
        <w:t>/202</w:t>
      </w:r>
      <w:r w:rsidR="00E55C9E" w:rsidRPr="000D70A9">
        <w:rPr>
          <w:i/>
          <w:color w:val="000000" w:themeColor="text1"/>
          <w:sz w:val="28"/>
          <w:szCs w:val="28"/>
        </w:rPr>
        <w:t>4</w:t>
      </w:r>
      <w:r w:rsidR="007C69F3" w:rsidRPr="000D70A9">
        <w:rPr>
          <w:i/>
          <w:color w:val="000000" w:themeColor="text1"/>
          <w:sz w:val="28"/>
          <w:szCs w:val="28"/>
          <w:lang w:val="vi-VN"/>
        </w:rPr>
        <w:t xml:space="preserve"> của UBND tỉnh)</w:t>
      </w:r>
    </w:p>
    <w:p w14:paraId="176F9868" w14:textId="61F48B9A" w:rsidR="00057C82" w:rsidRDefault="00057C82" w:rsidP="00011AEC">
      <w:pPr>
        <w:widowControl w:val="0"/>
        <w:spacing w:beforeLines="60" w:before="144" w:afterLines="60" w:after="144" w:line="360" w:lineRule="exact"/>
        <w:ind w:firstLine="709"/>
        <w:jc w:val="both"/>
        <w:rPr>
          <w:b/>
          <w:color w:val="000000" w:themeColor="text1"/>
          <w:sz w:val="28"/>
          <w:szCs w:val="28"/>
        </w:rPr>
      </w:pPr>
      <w:r>
        <w:rPr>
          <w:b/>
          <w:color w:val="000000" w:themeColor="text1"/>
          <w:sz w:val="28"/>
          <w:szCs w:val="28"/>
        </w:rPr>
        <w:t xml:space="preserve">I. Tình hình thực hiện dự toán chi thường xuyên </w:t>
      </w:r>
      <w:r w:rsidR="008824E0">
        <w:rPr>
          <w:b/>
          <w:color w:val="000000" w:themeColor="text1"/>
          <w:sz w:val="28"/>
          <w:szCs w:val="28"/>
        </w:rPr>
        <w:t xml:space="preserve">của một số dự án thuộc CTMTQG phát triển kinh tế - xã hội vùng đồng bào dân tộc thiểu số và miền núi </w:t>
      </w:r>
      <w:r>
        <w:rPr>
          <w:b/>
          <w:color w:val="000000" w:themeColor="text1"/>
          <w:sz w:val="28"/>
          <w:szCs w:val="28"/>
        </w:rPr>
        <w:t>giai đoạn 2022-2024 của các đơn vị cấp tỉnh</w:t>
      </w:r>
    </w:p>
    <w:p w14:paraId="7AD30F85" w14:textId="77777777" w:rsidR="004001F0" w:rsidRDefault="004001F0" w:rsidP="00011AEC">
      <w:pPr>
        <w:widowControl w:val="0"/>
        <w:spacing w:beforeLines="60" w:before="144" w:afterLines="60" w:after="144" w:line="360" w:lineRule="exact"/>
        <w:ind w:firstLine="709"/>
        <w:jc w:val="both"/>
        <w:rPr>
          <w:color w:val="000000" w:themeColor="text1"/>
          <w:sz w:val="28"/>
          <w:szCs w:val="28"/>
        </w:rPr>
      </w:pPr>
      <w:r w:rsidRPr="004001F0">
        <w:rPr>
          <w:color w:val="000000" w:themeColor="text1"/>
          <w:sz w:val="28"/>
          <w:szCs w:val="28"/>
        </w:rPr>
        <w:t>Công tác phân bổ kinh phí sự nghiệp Chương trình mục tiêu quốc gia phát triển kinh tế - xã hội vùng đồng bào dân tộc thiểu số và miền núi (Chương trình) được thực hiện theo các Nghị quyết của HĐND tỉnh: Số 02/2022/NQ-HĐND ngày 27/4/2022 ban hành quy định về nguyên tắc, tiêu chí và định mức phân bổ nguồn ngân sách nhà nước thực hiện Chương trình mục tiêu quốc gia phát triển kinh tế - xã hội vùng đồng bào dân tộc thiểu số và miền núi giai đoạn 2021-2025 và hằng năm trên địa bàn tỉnh Bắc Kạn (Nghị quyết số 02/2022/NQ-HĐND); số 18/2022/NQ-HĐND ngày 09/12/2022 sửa đổi, bổ sung một số điều của Quy định ban hành kèm theo Nghị quyết 02/2022/NQ-HĐND (Nghị quyết số 18/2022/NQ-HĐND); số 13/2023/NQ-HĐND ngày 23/10/2023 của HĐND tỉnh sửa đổi, bổ sung một số điều của Quy định ban hành kèm theo Nghị quyết 02/2022/NQ-HĐND (Nghị quyết số 13/2023/NQ-HĐND).</w:t>
      </w:r>
    </w:p>
    <w:p w14:paraId="29AE0D73" w14:textId="263FF98C" w:rsidR="007F48F8" w:rsidRPr="007F48F8" w:rsidRDefault="000C4AB5" w:rsidP="00011AEC">
      <w:pPr>
        <w:widowControl w:val="0"/>
        <w:spacing w:beforeLines="60" w:before="144" w:afterLines="60" w:after="144" w:line="360" w:lineRule="exact"/>
        <w:ind w:firstLine="709"/>
        <w:jc w:val="both"/>
        <w:rPr>
          <w:color w:val="000000" w:themeColor="text1"/>
          <w:sz w:val="28"/>
          <w:szCs w:val="28"/>
        </w:rPr>
      </w:pPr>
      <w:r>
        <w:rPr>
          <w:color w:val="000000" w:themeColor="text1"/>
          <w:sz w:val="28"/>
          <w:szCs w:val="28"/>
        </w:rPr>
        <w:t>Về t</w:t>
      </w:r>
      <w:r w:rsidR="007F48F8" w:rsidRPr="007F48F8">
        <w:rPr>
          <w:color w:val="000000" w:themeColor="text1"/>
          <w:sz w:val="28"/>
          <w:szCs w:val="28"/>
        </w:rPr>
        <w:t xml:space="preserve">ình hình thực hiện dự toán chi thường xuyên </w:t>
      </w:r>
      <w:r w:rsidR="008824E0" w:rsidRPr="008824E0">
        <w:rPr>
          <w:color w:val="000000" w:themeColor="text1"/>
          <w:sz w:val="28"/>
          <w:szCs w:val="28"/>
        </w:rPr>
        <w:t xml:space="preserve">của một số dự án </w:t>
      </w:r>
      <w:r>
        <w:rPr>
          <w:color w:val="000000" w:themeColor="text1"/>
          <w:sz w:val="28"/>
          <w:szCs w:val="28"/>
        </w:rPr>
        <w:t xml:space="preserve">thành phần </w:t>
      </w:r>
      <w:r w:rsidR="008824E0" w:rsidRPr="008824E0">
        <w:rPr>
          <w:color w:val="000000" w:themeColor="text1"/>
          <w:sz w:val="28"/>
          <w:szCs w:val="28"/>
        </w:rPr>
        <w:t xml:space="preserve">thuộc </w:t>
      </w:r>
      <w:r>
        <w:rPr>
          <w:color w:val="000000" w:themeColor="text1"/>
          <w:sz w:val="28"/>
          <w:szCs w:val="28"/>
        </w:rPr>
        <w:t xml:space="preserve">Chương trình trong </w:t>
      </w:r>
      <w:r w:rsidR="008824E0" w:rsidRPr="008824E0">
        <w:rPr>
          <w:color w:val="000000" w:themeColor="text1"/>
          <w:sz w:val="28"/>
          <w:szCs w:val="28"/>
        </w:rPr>
        <w:t>giai đoạn 2022-2024</w:t>
      </w:r>
      <w:r w:rsidR="007F48F8" w:rsidRPr="007F48F8">
        <w:rPr>
          <w:color w:val="000000" w:themeColor="text1"/>
          <w:sz w:val="28"/>
          <w:szCs w:val="28"/>
        </w:rPr>
        <w:t xml:space="preserve"> của các đơn vị cấp tỉnh</w:t>
      </w:r>
      <w:r w:rsidR="007F48F8">
        <w:rPr>
          <w:color w:val="000000" w:themeColor="text1"/>
          <w:sz w:val="28"/>
          <w:szCs w:val="28"/>
        </w:rPr>
        <w:t xml:space="preserve"> theo Biểu số </w:t>
      </w:r>
      <w:r w:rsidR="008824E0">
        <w:rPr>
          <w:color w:val="000000" w:themeColor="text1"/>
          <w:sz w:val="28"/>
          <w:szCs w:val="28"/>
        </w:rPr>
        <w:t>01</w:t>
      </w:r>
      <w:r w:rsidR="007F48F8">
        <w:rPr>
          <w:color w:val="000000" w:themeColor="text1"/>
          <w:sz w:val="28"/>
          <w:szCs w:val="28"/>
        </w:rPr>
        <w:t xml:space="preserve"> đính kèm.</w:t>
      </w:r>
    </w:p>
    <w:p w14:paraId="46FE91BE" w14:textId="07BB265A" w:rsidR="00057C82" w:rsidRDefault="007F48F8" w:rsidP="00011AEC">
      <w:pPr>
        <w:widowControl w:val="0"/>
        <w:spacing w:beforeLines="60" w:before="144" w:afterLines="60" w:after="144" w:line="360" w:lineRule="exact"/>
        <w:ind w:firstLine="709"/>
        <w:jc w:val="both"/>
        <w:rPr>
          <w:color w:val="000000" w:themeColor="text1"/>
          <w:sz w:val="28"/>
          <w:szCs w:val="28"/>
        </w:rPr>
      </w:pPr>
      <w:r w:rsidRPr="007F48F8">
        <w:rPr>
          <w:color w:val="000000" w:themeColor="text1"/>
          <w:sz w:val="28"/>
          <w:szCs w:val="28"/>
        </w:rPr>
        <w:t xml:space="preserve">Trong </w:t>
      </w:r>
      <w:r>
        <w:rPr>
          <w:color w:val="000000" w:themeColor="text1"/>
          <w:sz w:val="28"/>
          <w:szCs w:val="28"/>
        </w:rPr>
        <w:t>giai đoạn 2022-2024 (năm 2024 là dự ước)</w:t>
      </w:r>
      <w:r w:rsidRPr="007F48F8">
        <w:rPr>
          <w:color w:val="000000" w:themeColor="text1"/>
          <w:sz w:val="28"/>
          <w:szCs w:val="28"/>
        </w:rPr>
        <w:t xml:space="preserve">, một số </w:t>
      </w:r>
      <w:r>
        <w:rPr>
          <w:color w:val="000000" w:themeColor="text1"/>
          <w:sz w:val="28"/>
          <w:szCs w:val="28"/>
        </w:rPr>
        <w:t xml:space="preserve">đơn vị cấp tỉnh đã giải ngân hết nguồn kinh phí chi thường xuyên </w:t>
      </w:r>
      <w:r w:rsidR="008824E0">
        <w:rPr>
          <w:color w:val="000000" w:themeColor="text1"/>
          <w:sz w:val="28"/>
          <w:szCs w:val="28"/>
        </w:rPr>
        <w:t>của Chương trình được giao; có đơn vị thừa kinh phí thực hiện;</w:t>
      </w:r>
      <w:r>
        <w:rPr>
          <w:color w:val="000000" w:themeColor="text1"/>
          <w:sz w:val="28"/>
          <w:szCs w:val="28"/>
        </w:rPr>
        <w:t xml:space="preserve"> có đơn vị còn th</w:t>
      </w:r>
      <w:r w:rsidR="000C4AB5">
        <w:rPr>
          <w:color w:val="000000" w:themeColor="text1"/>
          <w:sz w:val="28"/>
          <w:szCs w:val="28"/>
        </w:rPr>
        <w:t>iếu kinh phí thực hiện nhiệm vụ</w:t>
      </w:r>
      <w:r>
        <w:rPr>
          <w:color w:val="000000" w:themeColor="text1"/>
          <w:sz w:val="28"/>
          <w:szCs w:val="28"/>
        </w:rPr>
        <w:t xml:space="preserve"> </w:t>
      </w:r>
      <w:r w:rsidR="000C4AB5">
        <w:rPr>
          <w:color w:val="000000" w:themeColor="text1"/>
          <w:sz w:val="28"/>
          <w:szCs w:val="28"/>
        </w:rPr>
        <w:t>(</w:t>
      </w:r>
      <w:r w:rsidR="000C4AB5" w:rsidRPr="000C4AB5">
        <w:rPr>
          <w:i/>
          <w:color w:val="000000" w:themeColor="text1"/>
          <w:sz w:val="28"/>
          <w:szCs w:val="28"/>
        </w:rPr>
        <w:t>Ví dụ</w:t>
      </w:r>
      <w:r w:rsidRPr="000C4AB5">
        <w:rPr>
          <w:i/>
          <w:color w:val="000000" w:themeColor="text1"/>
          <w:sz w:val="28"/>
          <w:szCs w:val="28"/>
        </w:rPr>
        <w:t xml:space="preserve">: </w:t>
      </w:r>
      <w:r w:rsidR="00B71369" w:rsidRPr="000C4AB5">
        <w:rPr>
          <w:i/>
          <w:color w:val="000000" w:themeColor="text1"/>
          <w:sz w:val="28"/>
          <w:szCs w:val="28"/>
        </w:rPr>
        <w:t xml:space="preserve">Năm 2024, đối với Tiểu dự án 3 thuộc Dự án 10: Sở Tài chính thiếu khoảng 35 triệu đồng, Hội liên hiệp Phụ nữ tỉnh thiếu khoảng 50 triệu đồng, Bộ Chỉ huy Quân sự tỉnh thiếu khoảng 13 triệu đồng, Sở Tài nguyên Môi trường thiếu khoảng 9 triệu đồng; trong khi đó, Sở Giao thông vận tải dư kinh phí 25 triệu đồng, Sở Công Thương </w:t>
      </w:r>
      <w:r w:rsidR="001E7E64" w:rsidRPr="000C4AB5">
        <w:rPr>
          <w:i/>
          <w:color w:val="000000" w:themeColor="text1"/>
          <w:sz w:val="28"/>
          <w:szCs w:val="28"/>
        </w:rPr>
        <w:t>dư</w:t>
      </w:r>
      <w:r w:rsidR="00B71369" w:rsidRPr="000C4AB5">
        <w:rPr>
          <w:i/>
          <w:color w:val="000000" w:themeColor="text1"/>
          <w:sz w:val="28"/>
          <w:szCs w:val="28"/>
        </w:rPr>
        <w:t xml:space="preserve"> 1</w:t>
      </w:r>
      <w:r w:rsidR="001E7E64" w:rsidRPr="000C4AB5">
        <w:rPr>
          <w:i/>
          <w:color w:val="000000" w:themeColor="text1"/>
          <w:sz w:val="28"/>
          <w:szCs w:val="28"/>
        </w:rPr>
        <w:t>0</w:t>
      </w:r>
      <w:r w:rsidR="00B71369" w:rsidRPr="000C4AB5">
        <w:rPr>
          <w:i/>
          <w:color w:val="000000" w:themeColor="text1"/>
          <w:sz w:val="28"/>
          <w:szCs w:val="28"/>
        </w:rPr>
        <w:t xml:space="preserve"> triệu đồng, </w:t>
      </w:r>
      <w:r w:rsidR="001E7E64" w:rsidRPr="000C4AB5">
        <w:rPr>
          <w:i/>
          <w:color w:val="000000" w:themeColor="text1"/>
          <w:sz w:val="28"/>
          <w:szCs w:val="28"/>
        </w:rPr>
        <w:t>Sở Nội vụ dư 13 triệu đồng</w:t>
      </w:r>
      <w:r w:rsidR="000C4AB5">
        <w:rPr>
          <w:color w:val="000000" w:themeColor="text1"/>
          <w:sz w:val="28"/>
          <w:szCs w:val="28"/>
        </w:rPr>
        <w:t>)</w:t>
      </w:r>
      <w:r w:rsidR="001E7E64">
        <w:rPr>
          <w:color w:val="000000" w:themeColor="text1"/>
          <w:sz w:val="28"/>
          <w:szCs w:val="28"/>
        </w:rPr>
        <w:t>.</w:t>
      </w:r>
      <w:r w:rsidR="004001F0">
        <w:rPr>
          <w:color w:val="000000" w:themeColor="text1"/>
          <w:sz w:val="28"/>
          <w:szCs w:val="28"/>
        </w:rPr>
        <w:t xml:space="preserve"> Đồng thời, có một số dự án thành phần (</w:t>
      </w:r>
      <w:r w:rsidR="00CC2FDD">
        <w:rPr>
          <w:color w:val="000000" w:themeColor="text1"/>
          <w:sz w:val="28"/>
          <w:szCs w:val="28"/>
        </w:rPr>
        <w:t xml:space="preserve">Tiểu dự án 2 thuộc Dự án 3, </w:t>
      </w:r>
      <w:r w:rsidR="004001F0">
        <w:rPr>
          <w:color w:val="000000" w:themeColor="text1"/>
          <w:sz w:val="28"/>
          <w:szCs w:val="28"/>
        </w:rPr>
        <w:t xml:space="preserve">Tiểu dự án </w:t>
      </w:r>
      <w:r w:rsidR="00BB413F">
        <w:rPr>
          <w:color w:val="000000" w:themeColor="text1"/>
          <w:sz w:val="28"/>
          <w:szCs w:val="28"/>
        </w:rPr>
        <w:t>2</w:t>
      </w:r>
      <w:r w:rsidR="004001F0">
        <w:rPr>
          <w:color w:val="000000" w:themeColor="text1"/>
          <w:sz w:val="28"/>
          <w:szCs w:val="28"/>
        </w:rPr>
        <w:t xml:space="preserve"> thuộc Dự án 5,</w:t>
      </w:r>
      <w:r w:rsidR="00BB413F">
        <w:rPr>
          <w:color w:val="000000" w:themeColor="text1"/>
          <w:sz w:val="28"/>
          <w:szCs w:val="28"/>
        </w:rPr>
        <w:t xml:space="preserve"> Tiểu dự án 2 thuộc Dự án 5,</w:t>
      </w:r>
      <w:r w:rsidR="004001F0">
        <w:rPr>
          <w:color w:val="000000" w:themeColor="text1"/>
          <w:sz w:val="28"/>
          <w:szCs w:val="28"/>
        </w:rPr>
        <w:t xml:space="preserve"> Dự án 8) theo tiêu chí phân bổ mới chỉ giao cho một đơn vị cấp tỉnh thực hiện, nhưng quá trình thực hiện thực tế có một số nội dung của dự án thành phần có thể giao cho nhiều đơn vị cấp tỉnh thực hiện.</w:t>
      </w:r>
    </w:p>
    <w:p w14:paraId="4561B6A7" w14:textId="3CA2CABD" w:rsidR="0080403E" w:rsidRDefault="0080403E" w:rsidP="00011AEC">
      <w:pPr>
        <w:widowControl w:val="0"/>
        <w:spacing w:beforeLines="60" w:before="144" w:afterLines="60" w:after="144" w:line="360" w:lineRule="exact"/>
        <w:ind w:firstLine="709"/>
        <w:jc w:val="both"/>
        <w:rPr>
          <w:color w:val="000000" w:themeColor="text1"/>
          <w:sz w:val="28"/>
          <w:szCs w:val="28"/>
        </w:rPr>
      </w:pPr>
      <w:r>
        <w:rPr>
          <w:color w:val="000000" w:themeColor="text1"/>
          <w:sz w:val="28"/>
          <w:szCs w:val="28"/>
        </w:rPr>
        <w:t xml:space="preserve">Tuy nhiên, do </w:t>
      </w:r>
      <w:r w:rsidRPr="0080403E">
        <w:rPr>
          <w:color w:val="000000" w:themeColor="text1"/>
          <w:sz w:val="28"/>
          <w:szCs w:val="28"/>
        </w:rPr>
        <w:t xml:space="preserve">nguyên tắc, tiêu chí, định mức phân bổ </w:t>
      </w:r>
      <w:r w:rsidR="000C4AB5">
        <w:rPr>
          <w:color w:val="000000" w:themeColor="text1"/>
          <w:sz w:val="28"/>
          <w:szCs w:val="28"/>
        </w:rPr>
        <w:t xml:space="preserve">vốn </w:t>
      </w:r>
      <w:r w:rsidRPr="0080403E">
        <w:rPr>
          <w:color w:val="000000" w:themeColor="text1"/>
          <w:sz w:val="28"/>
          <w:szCs w:val="28"/>
        </w:rPr>
        <w:t xml:space="preserve">của các dự án </w:t>
      </w:r>
      <w:r w:rsidRPr="0080403E">
        <w:rPr>
          <w:color w:val="000000" w:themeColor="text1"/>
          <w:sz w:val="28"/>
          <w:szCs w:val="28"/>
        </w:rPr>
        <w:lastRenderedPageBreak/>
        <w:t xml:space="preserve">thành phần đối với đơn vị cấp tỉnh tại các Nghị quyết của HĐND tỉnh </w:t>
      </w:r>
      <w:r w:rsidR="000C4AB5">
        <w:rPr>
          <w:color w:val="000000" w:themeColor="text1"/>
          <w:sz w:val="28"/>
          <w:szCs w:val="28"/>
        </w:rPr>
        <w:t xml:space="preserve">nêu trên </w:t>
      </w:r>
      <w:r w:rsidR="004001F0">
        <w:rPr>
          <w:color w:val="000000" w:themeColor="text1"/>
          <w:sz w:val="28"/>
          <w:szCs w:val="28"/>
        </w:rPr>
        <w:t>lại</w:t>
      </w:r>
      <w:r w:rsidRPr="0080403E">
        <w:rPr>
          <w:color w:val="000000" w:themeColor="text1"/>
          <w:sz w:val="28"/>
          <w:szCs w:val="28"/>
        </w:rPr>
        <w:t xml:space="preserve"> ấn định cụ thể mức</w:t>
      </w:r>
      <w:r>
        <w:rPr>
          <w:color w:val="000000" w:themeColor="text1"/>
          <w:sz w:val="28"/>
          <w:szCs w:val="28"/>
        </w:rPr>
        <w:t xml:space="preserve"> phân bổ tối đa cho từng đơn vị,</w:t>
      </w:r>
      <w:r w:rsidRPr="0080403E">
        <w:rPr>
          <w:color w:val="000000" w:themeColor="text1"/>
          <w:sz w:val="28"/>
          <w:szCs w:val="28"/>
        </w:rPr>
        <w:t xml:space="preserve"> </w:t>
      </w:r>
      <w:r>
        <w:rPr>
          <w:color w:val="000000" w:themeColor="text1"/>
          <w:sz w:val="28"/>
          <w:szCs w:val="28"/>
        </w:rPr>
        <w:t xml:space="preserve">dẫn đến </w:t>
      </w:r>
      <w:r w:rsidRPr="0080403E">
        <w:rPr>
          <w:color w:val="000000" w:themeColor="text1"/>
          <w:sz w:val="28"/>
          <w:szCs w:val="28"/>
        </w:rPr>
        <w:t>quá trình thực hiện có đơn vị thừa hoặc thiếu kinh phí</w:t>
      </w:r>
      <w:r w:rsidR="004001F0">
        <w:rPr>
          <w:color w:val="000000" w:themeColor="text1"/>
          <w:sz w:val="28"/>
          <w:szCs w:val="28"/>
        </w:rPr>
        <w:t>, có đơn vị không được giao vốn</w:t>
      </w:r>
      <w:r w:rsidRPr="0080403E">
        <w:rPr>
          <w:color w:val="000000" w:themeColor="text1"/>
          <w:sz w:val="28"/>
          <w:szCs w:val="28"/>
        </w:rPr>
        <w:t xml:space="preserve"> nhưng </w:t>
      </w:r>
      <w:r w:rsidR="004001F0">
        <w:rPr>
          <w:color w:val="000000" w:themeColor="text1"/>
          <w:sz w:val="28"/>
          <w:szCs w:val="28"/>
        </w:rPr>
        <w:t xml:space="preserve">lại </w:t>
      </w:r>
      <w:r w:rsidRPr="0080403E">
        <w:rPr>
          <w:color w:val="000000" w:themeColor="text1"/>
          <w:sz w:val="28"/>
          <w:szCs w:val="28"/>
        </w:rPr>
        <w:t>không có cơ sở điều chuyển kinh phí giữa đơn vị thừa với đơn vị thiếu vốn</w:t>
      </w:r>
      <w:r w:rsidR="004001F0">
        <w:rPr>
          <w:color w:val="000000" w:themeColor="text1"/>
          <w:sz w:val="28"/>
          <w:szCs w:val="28"/>
        </w:rPr>
        <w:t xml:space="preserve"> hoặc cấp kinh phí cho đơn vị chưa được giao vốn</w:t>
      </w:r>
      <w:r w:rsidRPr="0080403E">
        <w:rPr>
          <w:color w:val="000000" w:themeColor="text1"/>
          <w:sz w:val="28"/>
          <w:szCs w:val="28"/>
        </w:rPr>
        <w:t>. Như vậy, hiện nay riêng các đơn vị cấp tỉnh chưa có cơ sở điều chỉnh dự toán chi thường xuyên theo quy định tại Nghị quyết số 111/2024/QH15 của Quốc hội</w:t>
      </w:r>
      <w:r w:rsidR="000C4AB5">
        <w:rPr>
          <w:color w:val="000000" w:themeColor="text1"/>
          <w:sz w:val="28"/>
          <w:szCs w:val="28"/>
        </w:rPr>
        <w:t xml:space="preserve"> </w:t>
      </w:r>
      <w:r w:rsidR="000C4AB5" w:rsidRPr="000C4AB5">
        <w:rPr>
          <w:color w:val="000000" w:themeColor="text1"/>
          <w:sz w:val="28"/>
          <w:szCs w:val="28"/>
        </w:rPr>
        <w:t>khóa XV, kỳ họp bất thường lần thứ 5 về một số cơ chế, chính sách đặc thù thực hiện các chương trình mục tiêu quốc gia</w:t>
      </w:r>
      <w:r w:rsidR="000C4AB5">
        <w:rPr>
          <w:color w:val="000000" w:themeColor="text1"/>
          <w:sz w:val="28"/>
          <w:szCs w:val="28"/>
        </w:rPr>
        <w:t xml:space="preserve"> (</w:t>
      </w:r>
      <w:r w:rsidR="000C4AB5" w:rsidRPr="0080403E">
        <w:rPr>
          <w:color w:val="000000" w:themeColor="text1"/>
          <w:sz w:val="28"/>
          <w:szCs w:val="28"/>
        </w:rPr>
        <w:t>Nghị quyết số 111/2024/QH15</w:t>
      </w:r>
      <w:r w:rsidR="000C4AB5">
        <w:rPr>
          <w:color w:val="000000" w:themeColor="text1"/>
          <w:sz w:val="28"/>
          <w:szCs w:val="28"/>
        </w:rPr>
        <w:t>)</w:t>
      </w:r>
      <w:r w:rsidR="004001F0">
        <w:rPr>
          <w:color w:val="000000" w:themeColor="text1"/>
          <w:sz w:val="28"/>
          <w:szCs w:val="28"/>
        </w:rPr>
        <w:t>.</w:t>
      </w:r>
      <w:r w:rsidR="000C4AB5">
        <w:rPr>
          <w:color w:val="000000" w:themeColor="text1"/>
          <w:sz w:val="28"/>
          <w:szCs w:val="28"/>
        </w:rPr>
        <w:t xml:space="preserve"> Mặt khác, </w:t>
      </w:r>
      <w:r w:rsidR="000C4AB5">
        <w:rPr>
          <w:sz w:val="28"/>
          <w:szCs w:val="28"/>
        </w:rPr>
        <w:t>t</w:t>
      </w:r>
      <w:r w:rsidR="000C4AB5" w:rsidRPr="000C4AB5">
        <w:rPr>
          <w:sz w:val="28"/>
          <w:szCs w:val="28"/>
        </w:rPr>
        <w:t>heo Nghị quyết số 111/2024/QH15, từ năm 2025, Trung ương sẽ không phân bổ kinh phí các CTMTQG chi tiết đến dự án thành phần mà chỉ phân bổ tổng kinh phí CTMTQG cho các tỉnh, như vậy để xác định được số kinh phí của mỗi dự án thành phần cần phải dựa trên cơ sở báo cáo nhu cầu kinh phí dự kiến thực hiện của từng đơn vị</w:t>
      </w:r>
      <w:r w:rsidR="000C4AB5">
        <w:rPr>
          <w:sz w:val="28"/>
          <w:szCs w:val="28"/>
        </w:rPr>
        <w:t>, địa phương</w:t>
      </w:r>
      <w:r w:rsidR="000C4AB5" w:rsidRPr="000C4AB5">
        <w:rPr>
          <w:sz w:val="28"/>
          <w:szCs w:val="28"/>
        </w:rPr>
        <w:t>, theo đó việc ấn định mỗi đơn vị phân bổ ở mức một tỷ lệ nhất định là không còn phù hợp</w:t>
      </w:r>
      <w:r w:rsidR="00BB413F">
        <w:rPr>
          <w:sz w:val="28"/>
          <w:szCs w:val="28"/>
        </w:rPr>
        <w:t>.</w:t>
      </w:r>
    </w:p>
    <w:p w14:paraId="437801E7" w14:textId="3D90CAB1" w:rsidR="008836BE" w:rsidRPr="008836BE" w:rsidRDefault="008836BE" w:rsidP="00011AEC">
      <w:pPr>
        <w:widowControl w:val="0"/>
        <w:spacing w:beforeLines="60" w:before="144" w:afterLines="60" w:after="144" w:line="360" w:lineRule="exact"/>
        <w:ind w:firstLine="709"/>
        <w:jc w:val="both"/>
        <w:rPr>
          <w:b/>
          <w:color w:val="000000" w:themeColor="text1"/>
          <w:sz w:val="28"/>
          <w:szCs w:val="28"/>
        </w:rPr>
      </w:pPr>
      <w:r w:rsidRPr="008836BE">
        <w:rPr>
          <w:b/>
          <w:color w:val="000000" w:themeColor="text1"/>
          <w:sz w:val="28"/>
          <w:szCs w:val="28"/>
        </w:rPr>
        <w:t>II.</w:t>
      </w:r>
      <w:r>
        <w:rPr>
          <w:b/>
          <w:color w:val="000000" w:themeColor="text1"/>
          <w:sz w:val="28"/>
          <w:szCs w:val="28"/>
        </w:rPr>
        <w:t xml:space="preserve"> </w:t>
      </w:r>
      <w:r w:rsidRPr="008836BE">
        <w:rPr>
          <w:b/>
          <w:color w:val="000000" w:themeColor="text1"/>
          <w:sz w:val="28"/>
          <w:szCs w:val="28"/>
        </w:rPr>
        <w:t xml:space="preserve">Thuyết minh nội dung trình sửa đổi, bổ sung </w:t>
      </w:r>
      <w:r w:rsidRPr="008836BE">
        <w:rPr>
          <w:b/>
          <w:sz w:val="28"/>
          <w:szCs w:val="28"/>
          <w:highlight w:val="white"/>
        </w:rPr>
        <w:t>một số điều của quy định ban hành kèm theo Nghị quyết số 02/2022/NQ-HĐND ngày 27/4/2022 của HĐND tỉnh Bắc Kạn (sửa đổi, bổ sung tại Nghị quyết số 18/2022/NQ-HĐND ngày 09/12/2022 của HĐND tỉnh)</w:t>
      </w:r>
    </w:p>
    <w:p w14:paraId="24F2CA02" w14:textId="2CEE35C3" w:rsidR="004001F0" w:rsidRDefault="000C4AB5" w:rsidP="00011AEC">
      <w:pPr>
        <w:widowControl w:val="0"/>
        <w:spacing w:beforeLines="60" w:before="144" w:afterLines="60" w:after="144" w:line="360" w:lineRule="exact"/>
        <w:ind w:firstLine="709"/>
        <w:jc w:val="both"/>
        <w:rPr>
          <w:sz w:val="28"/>
          <w:szCs w:val="28"/>
        </w:rPr>
      </w:pPr>
      <w:r w:rsidRPr="000C4AB5">
        <w:rPr>
          <w:sz w:val="28"/>
          <w:szCs w:val="28"/>
        </w:rPr>
        <w:t xml:space="preserve">Để khắc phục </w:t>
      </w:r>
      <w:r w:rsidR="00BB413F">
        <w:rPr>
          <w:sz w:val="28"/>
          <w:szCs w:val="28"/>
        </w:rPr>
        <w:t xml:space="preserve">những </w:t>
      </w:r>
      <w:r w:rsidRPr="000C4AB5">
        <w:rPr>
          <w:sz w:val="28"/>
          <w:szCs w:val="28"/>
        </w:rPr>
        <w:t xml:space="preserve">hạn chế </w:t>
      </w:r>
      <w:r>
        <w:rPr>
          <w:sz w:val="28"/>
          <w:szCs w:val="28"/>
        </w:rPr>
        <w:t xml:space="preserve">đã trình bày tại Mục I </w:t>
      </w:r>
      <w:r w:rsidRPr="000C4AB5">
        <w:rPr>
          <w:sz w:val="28"/>
          <w:szCs w:val="28"/>
        </w:rPr>
        <w:t xml:space="preserve">nêu trên và đảm bảo </w:t>
      </w:r>
      <w:r w:rsidR="00BB413F">
        <w:rPr>
          <w:sz w:val="28"/>
          <w:szCs w:val="28"/>
        </w:rPr>
        <w:t xml:space="preserve">triển khai thực hiện tốt </w:t>
      </w:r>
      <w:r w:rsidR="00BB413F" w:rsidRPr="00BB413F">
        <w:rPr>
          <w:sz w:val="28"/>
          <w:szCs w:val="28"/>
        </w:rPr>
        <w:t>Nghị quyết số 111/2024/QH15</w:t>
      </w:r>
      <w:r w:rsidR="00BB413F">
        <w:rPr>
          <w:sz w:val="28"/>
          <w:szCs w:val="28"/>
        </w:rPr>
        <w:t xml:space="preserve"> của Quốc hội, góp phần </w:t>
      </w:r>
      <w:r w:rsidRPr="000C4AB5">
        <w:rPr>
          <w:sz w:val="28"/>
          <w:szCs w:val="28"/>
        </w:rPr>
        <w:t>giải ngân có hiệu quả nguồn kinh phí của Chương trình</w:t>
      </w:r>
      <w:r w:rsidR="00BB413F">
        <w:rPr>
          <w:sz w:val="28"/>
          <w:szCs w:val="28"/>
        </w:rPr>
        <w:t xml:space="preserve"> được giao, UBND tỉnh đề xuất điều chỉnh nguyên tắc, tiêu chí, </w:t>
      </w:r>
      <w:r w:rsidR="00BB413F" w:rsidRPr="00BB413F">
        <w:rPr>
          <w:sz w:val="28"/>
          <w:szCs w:val="28"/>
        </w:rPr>
        <w:t xml:space="preserve">định mức phân bổ vốn của </w:t>
      </w:r>
      <w:r w:rsidR="00BB413F">
        <w:rPr>
          <w:sz w:val="28"/>
          <w:szCs w:val="28"/>
        </w:rPr>
        <w:t>một số</w:t>
      </w:r>
      <w:r w:rsidR="00BB413F" w:rsidRPr="00BB413F">
        <w:rPr>
          <w:sz w:val="28"/>
          <w:szCs w:val="28"/>
        </w:rPr>
        <w:t xml:space="preserve"> dự án thành phần</w:t>
      </w:r>
      <w:r w:rsidR="00BB413F">
        <w:rPr>
          <w:sz w:val="28"/>
          <w:szCs w:val="28"/>
        </w:rPr>
        <w:t xml:space="preserve"> do các đơn vị cấp tỉnh thực hiện tại </w:t>
      </w:r>
      <w:r w:rsidR="00BB413F" w:rsidRPr="00BB413F">
        <w:rPr>
          <w:sz w:val="28"/>
          <w:szCs w:val="28"/>
        </w:rPr>
        <w:t>Nghị quyết số 02/2022/NQ-HĐND</w:t>
      </w:r>
      <w:r w:rsidR="00BB413F">
        <w:rPr>
          <w:sz w:val="28"/>
          <w:szCs w:val="28"/>
        </w:rPr>
        <w:t xml:space="preserve"> và </w:t>
      </w:r>
      <w:r w:rsidR="00BB413F" w:rsidRPr="00BB413F">
        <w:rPr>
          <w:sz w:val="28"/>
          <w:szCs w:val="28"/>
        </w:rPr>
        <w:t>Nghị quyết số 18/2022/NQ-HĐND</w:t>
      </w:r>
      <w:r w:rsidR="00BB413F">
        <w:rPr>
          <w:sz w:val="28"/>
          <w:szCs w:val="28"/>
        </w:rPr>
        <w:t xml:space="preserve"> </w:t>
      </w:r>
      <w:r w:rsidR="000715E1" w:rsidRPr="000715E1">
        <w:rPr>
          <w:sz w:val="28"/>
          <w:szCs w:val="28"/>
        </w:rPr>
        <w:t xml:space="preserve">theo hướng: Những nội dung, tiểu dự án, dự án của Chương trình </w:t>
      </w:r>
      <w:r w:rsidR="000715E1">
        <w:rPr>
          <w:sz w:val="28"/>
          <w:szCs w:val="28"/>
        </w:rPr>
        <w:t>theo rà soát có từ</w:t>
      </w:r>
      <w:r w:rsidR="000715E1" w:rsidRPr="000715E1">
        <w:rPr>
          <w:sz w:val="28"/>
          <w:szCs w:val="28"/>
        </w:rPr>
        <w:t xml:space="preserve"> 02 đơn vị cấp tỉnh thực hiện trở lên sẽ đề xuất không ấn định phân bổ theo tỷ lệ cho từng đơn vị mà chỉ phân bổ một tỷ lệ chung cho các đơn vị cấp tỉnh</w:t>
      </w:r>
      <w:r w:rsidR="000715E1">
        <w:rPr>
          <w:sz w:val="28"/>
          <w:szCs w:val="28"/>
        </w:rPr>
        <w:t xml:space="preserve">, cụ thể </w:t>
      </w:r>
      <w:r w:rsidR="00BB413F">
        <w:rPr>
          <w:sz w:val="28"/>
          <w:szCs w:val="28"/>
        </w:rPr>
        <w:t>như sau:</w:t>
      </w:r>
    </w:p>
    <w:p w14:paraId="574173B1" w14:textId="77777777" w:rsidR="00CC2FDD" w:rsidRDefault="00CC2FDD" w:rsidP="00CC2FDD">
      <w:pPr>
        <w:widowControl w:val="0"/>
        <w:spacing w:beforeLines="60" w:before="144" w:afterLines="60" w:after="144" w:line="360" w:lineRule="exact"/>
        <w:ind w:firstLine="709"/>
        <w:jc w:val="both"/>
        <w:rPr>
          <w:sz w:val="28"/>
          <w:szCs w:val="28"/>
        </w:rPr>
      </w:pPr>
      <w:r w:rsidRPr="006F5C17">
        <w:rPr>
          <w:color w:val="000000" w:themeColor="text1"/>
          <w:sz w:val="28"/>
          <w:szCs w:val="28"/>
        </w:rPr>
        <w:t>1.</w:t>
      </w:r>
      <w:r w:rsidRPr="008836BE">
        <w:rPr>
          <w:sz w:val="28"/>
          <w:szCs w:val="28"/>
          <w:highlight w:val="white"/>
        </w:rPr>
        <w:t xml:space="preserve"> </w:t>
      </w:r>
      <w:r w:rsidRPr="008836BE">
        <w:rPr>
          <w:sz w:val="28"/>
          <w:szCs w:val="28"/>
        </w:rPr>
        <w:t>Dự án hỗ trợ phát triển sản xuất (Tiểu dự án 2 Dự án 3) (khoản 1 Điều 1 dự thảo Nghị quyết):</w:t>
      </w:r>
    </w:p>
    <w:p w14:paraId="050035C1" w14:textId="4C618E8D" w:rsidR="00CC2FDD" w:rsidRDefault="00CC2FDD" w:rsidP="00CC2FDD">
      <w:pPr>
        <w:widowControl w:val="0"/>
        <w:spacing w:beforeLines="60" w:before="144" w:afterLines="60" w:after="144" w:line="360" w:lineRule="exact"/>
        <w:ind w:firstLine="709"/>
        <w:jc w:val="both"/>
        <w:rPr>
          <w:sz w:val="28"/>
          <w:szCs w:val="28"/>
        </w:rPr>
      </w:pPr>
      <w:r>
        <w:rPr>
          <w:color w:val="000000" w:themeColor="text1"/>
          <w:sz w:val="28"/>
          <w:szCs w:val="28"/>
        </w:rPr>
        <w:t xml:space="preserve">Định mức phân bổ </w:t>
      </w:r>
      <w:r>
        <w:rPr>
          <w:sz w:val="28"/>
          <w:szCs w:val="28"/>
        </w:rPr>
        <w:t xml:space="preserve">hiện tại mới chỉ phân bổ cho Sở Nông nghiệp và Phát triển nông thôn với mức tối đa là 19% tổng số vốn của tiểu dự án. Qua rà soát thực tế, có một số đơn vị cấp tỉnh có khả năng triển khai thực hiện như Sở Công Thương, Sở Khoa học và Công nghệ nhưng chưa được phân bổ kinh phí. </w:t>
      </w:r>
    </w:p>
    <w:p w14:paraId="1BF62014" w14:textId="6AFA278A" w:rsidR="006F5C17" w:rsidRDefault="00CC2FDD" w:rsidP="00CC2FDD">
      <w:pPr>
        <w:widowControl w:val="0"/>
        <w:spacing w:beforeLines="60" w:before="144" w:afterLines="60" w:after="144" w:line="360" w:lineRule="exact"/>
        <w:ind w:firstLine="709"/>
        <w:jc w:val="both"/>
        <w:rPr>
          <w:sz w:val="28"/>
          <w:szCs w:val="28"/>
        </w:rPr>
      </w:pPr>
      <w:bookmarkStart w:id="0" w:name="_GoBack"/>
      <w:bookmarkEnd w:id="0"/>
      <w:r>
        <w:rPr>
          <w:sz w:val="28"/>
          <w:szCs w:val="28"/>
        </w:rPr>
        <w:t>2</w:t>
      </w:r>
      <w:r w:rsidR="006F5C17">
        <w:rPr>
          <w:sz w:val="28"/>
          <w:szCs w:val="28"/>
        </w:rPr>
        <w:t>.</w:t>
      </w:r>
      <w:r w:rsidR="006F5C17" w:rsidRPr="006F5C17">
        <w:rPr>
          <w:sz w:val="28"/>
          <w:szCs w:val="28"/>
        </w:rPr>
        <w:t xml:space="preserve"> </w:t>
      </w:r>
      <w:r w:rsidR="00312A68">
        <w:rPr>
          <w:sz w:val="28"/>
          <w:szCs w:val="28"/>
        </w:rPr>
        <w:t xml:space="preserve">Tiểu dự án 2 Dự án 5 - </w:t>
      </w:r>
      <w:r w:rsidR="006F5C17" w:rsidRPr="009B2026">
        <w:rPr>
          <w:sz w:val="28"/>
          <w:szCs w:val="28"/>
        </w:rPr>
        <w:t>Bồi dưỡng kiến thức dân tộc</w:t>
      </w:r>
      <w:r w:rsidR="00D11DB1">
        <w:rPr>
          <w:sz w:val="28"/>
          <w:szCs w:val="28"/>
        </w:rPr>
        <w:t xml:space="preserve">; </w:t>
      </w:r>
      <w:r w:rsidR="00D11DB1">
        <w:rPr>
          <w:iCs/>
          <w:sz w:val="28"/>
          <w:szCs w:val="28"/>
        </w:rPr>
        <w:t>đ</w:t>
      </w:r>
      <w:r w:rsidR="00D11DB1" w:rsidRPr="00D11DB1">
        <w:rPr>
          <w:iCs/>
          <w:sz w:val="28"/>
          <w:szCs w:val="28"/>
        </w:rPr>
        <w:t xml:space="preserve">ào tạo đại học, sau đại </w:t>
      </w:r>
      <w:r w:rsidR="00D11DB1" w:rsidRPr="00BD6845">
        <w:rPr>
          <w:iCs/>
          <w:sz w:val="28"/>
          <w:szCs w:val="28"/>
        </w:rPr>
        <w:t>học</w:t>
      </w:r>
      <w:r w:rsidR="006F5C17" w:rsidRPr="00BD6845">
        <w:rPr>
          <w:sz w:val="28"/>
          <w:szCs w:val="28"/>
        </w:rPr>
        <w:t xml:space="preserve"> (</w:t>
      </w:r>
      <w:r w:rsidR="00A17E28" w:rsidRPr="00BD6845">
        <w:rPr>
          <w:sz w:val="28"/>
          <w:szCs w:val="28"/>
        </w:rPr>
        <w:t xml:space="preserve">điểm a </w:t>
      </w:r>
      <w:r w:rsidR="006F5C17" w:rsidRPr="00BD6845">
        <w:rPr>
          <w:sz w:val="28"/>
          <w:szCs w:val="28"/>
        </w:rPr>
        <w:t xml:space="preserve">khoản </w:t>
      </w:r>
      <w:r w:rsidR="000715E1" w:rsidRPr="00BD6845">
        <w:rPr>
          <w:sz w:val="28"/>
          <w:szCs w:val="28"/>
        </w:rPr>
        <w:t>1</w:t>
      </w:r>
      <w:r w:rsidR="006F5C17" w:rsidRPr="00BD6845">
        <w:rPr>
          <w:sz w:val="28"/>
          <w:szCs w:val="28"/>
        </w:rPr>
        <w:t xml:space="preserve"> Điều 1 dự thảo Nghị quyết):</w:t>
      </w:r>
    </w:p>
    <w:p w14:paraId="135967B5" w14:textId="3E460716" w:rsidR="006F5C17" w:rsidRDefault="008E4B10" w:rsidP="00011AEC">
      <w:pPr>
        <w:widowControl w:val="0"/>
        <w:spacing w:beforeLines="60" w:before="144" w:afterLines="60" w:after="144" w:line="360" w:lineRule="exact"/>
        <w:ind w:firstLine="709"/>
        <w:jc w:val="both"/>
        <w:rPr>
          <w:sz w:val="28"/>
          <w:szCs w:val="28"/>
        </w:rPr>
      </w:pPr>
      <w:r>
        <w:rPr>
          <w:color w:val="000000" w:themeColor="text1"/>
          <w:sz w:val="28"/>
          <w:szCs w:val="28"/>
        </w:rPr>
        <w:t xml:space="preserve">Định mức phân bổ </w:t>
      </w:r>
      <w:r>
        <w:rPr>
          <w:sz w:val="28"/>
          <w:szCs w:val="28"/>
        </w:rPr>
        <w:t xml:space="preserve">hiện tại đối với </w:t>
      </w:r>
      <w:r w:rsidR="00D11DB1">
        <w:rPr>
          <w:sz w:val="28"/>
          <w:szCs w:val="28"/>
        </w:rPr>
        <w:t xml:space="preserve">nội dung bồi dưỡng kiến thức dân tộc </w:t>
      </w:r>
      <w:r w:rsidR="006F5C17">
        <w:rPr>
          <w:sz w:val="28"/>
          <w:szCs w:val="28"/>
        </w:rPr>
        <w:t xml:space="preserve">mới chỉ phân bổ cho Sở Nội vụ tối đa là 16% </w:t>
      </w:r>
      <w:r w:rsidR="006F5C17" w:rsidRPr="006F5C17">
        <w:rPr>
          <w:sz w:val="28"/>
          <w:szCs w:val="28"/>
        </w:rPr>
        <w:t xml:space="preserve">tổng số vốn sự nghiệp của nội </w:t>
      </w:r>
      <w:r w:rsidR="006F5C17" w:rsidRPr="006F5C17">
        <w:rPr>
          <w:sz w:val="28"/>
          <w:szCs w:val="28"/>
        </w:rPr>
        <w:lastRenderedPageBreak/>
        <w:t>dung 1 của tiểu dự án 2</w:t>
      </w:r>
      <w:r w:rsidR="00D11DB1">
        <w:rPr>
          <w:sz w:val="28"/>
          <w:szCs w:val="28"/>
        </w:rPr>
        <w:t>; nội dung</w:t>
      </w:r>
      <w:r w:rsidR="00D11DB1" w:rsidRPr="00D11DB1">
        <w:rPr>
          <w:iCs/>
          <w:sz w:val="28"/>
          <w:szCs w:val="28"/>
        </w:rPr>
        <w:t xml:space="preserve"> </w:t>
      </w:r>
      <w:r w:rsidR="00D11DB1">
        <w:rPr>
          <w:iCs/>
          <w:sz w:val="28"/>
          <w:szCs w:val="28"/>
        </w:rPr>
        <w:t>đ</w:t>
      </w:r>
      <w:r w:rsidR="00D11DB1" w:rsidRPr="00D11DB1">
        <w:rPr>
          <w:iCs/>
          <w:sz w:val="28"/>
          <w:szCs w:val="28"/>
        </w:rPr>
        <w:t>ào tạo đại học, sau đại học</w:t>
      </w:r>
      <w:r w:rsidR="00D11DB1">
        <w:rPr>
          <w:iCs/>
          <w:sz w:val="28"/>
          <w:szCs w:val="28"/>
        </w:rPr>
        <w:t xml:space="preserve"> phân bổ cho Sở Giáo dục và Đào tạo 100% </w:t>
      </w:r>
      <w:r w:rsidR="00D11DB1" w:rsidRPr="006F5C17">
        <w:rPr>
          <w:sz w:val="28"/>
          <w:szCs w:val="28"/>
        </w:rPr>
        <w:t xml:space="preserve">tổng số vốn sự nghiệp của nội dung </w:t>
      </w:r>
      <w:r w:rsidR="00D11DB1">
        <w:rPr>
          <w:sz w:val="28"/>
          <w:szCs w:val="28"/>
        </w:rPr>
        <w:t>2</w:t>
      </w:r>
      <w:r w:rsidR="00D11DB1" w:rsidRPr="006F5C17">
        <w:rPr>
          <w:sz w:val="28"/>
          <w:szCs w:val="28"/>
        </w:rPr>
        <w:t xml:space="preserve"> của tiểu dự án 2</w:t>
      </w:r>
      <w:r w:rsidR="006F5C17">
        <w:rPr>
          <w:sz w:val="28"/>
          <w:szCs w:val="28"/>
        </w:rPr>
        <w:t xml:space="preserve">. </w:t>
      </w:r>
      <w:r w:rsidR="006F5C17" w:rsidRPr="00BD6845">
        <w:rPr>
          <w:sz w:val="28"/>
          <w:szCs w:val="28"/>
        </w:rPr>
        <w:t xml:space="preserve">Qua rà soát thực tế, </w:t>
      </w:r>
      <w:r w:rsidR="00D11DB1" w:rsidRPr="00BD6845">
        <w:rPr>
          <w:sz w:val="28"/>
          <w:szCs w:val="28"/>
        </w:rPr>
        <w:t xml:space="preserve">các nội dung này </w:t>
      </w:r>
      <w:r w:rsidR="006F5C17" w:rsidRPr="00BD6845">
        <w:rPr>
          <w:sz w:val="28"/>
          <w:szCs w:val="28"/>
        </w:rPr>
        <w:t>Trường Chính trị tỉnh cũng có khả năng triển khai thực hiện</w:t>
      </w:r>
      <w:r w:rsidR="00D11DB1" w:rsidRPr="00BD6845">
        <w:rPr>
          <w:sz w:val="28"/>
          <w:szCs w:val="28"/>
        </w:rPr>
        <w:t>.</w:t>
      </w:r>
      <w:r w:rsidR="00BD6845">
        <w:rPr>
          <w:sz w:val="28"/>
          <w:szCs w:val="28"/>
        </w:rPr>
        <w:t xml:space="preserve"> Mức phân bổ cụ thể cho từng đơn vị sẽ theo nhu cầu thực tế và tổng vốn phân bổ cho các đơn vị cấp tỉnh không vượt quá tỷ lệ phân bổ tối đa quy định tại dự thảo Nghị quyết.</w:t>
      </w:r>
    </w:p>
    <w:p w14:paraId="3C277912" w14:textId="1FB8ED40" w:rsidR="00D11DB1" w:rsidRPr="00A17E28" w:rsidRDefault="00BD6845" w:rsidP="00011AEC">
      <w:pPr>
        <w:widowControl w:val="0"/>
        <w:spacing w:beforeLines="60" w:before="144" w:afterLines="60" w:after="144" w:line="360" w:lineRule="exact"/>
        <w:ind w:firstLine="709"/>
        <w:jc w:val="both"/>
        <w:rPr>
          <w:sz w:val="28"/>
          <w:szCs w:val="28"/>
        </w:rPr>
      </w:pPr>
      <w:r>
        <w:rPr>
          <w:sz w:val="28"/>
          <w:szCs w:val="28"/>
        </w:rPr>
        <w:t>2</w:t>
      </w:r>
      <w:r w:rsidR="00A17E28" w:rsidRPr="00A17E28">
        <w:rPr>
          <w:sz w:val="28"/>
          <w:szCs w:val="28"/>
        </w:rPr>
        <w:t>.</w:t>
      </w:r>
      <w:r w:rsidR="00A17E28" w:rsidRPr="00A17E28">
        <w:rPr>
          <w:color w:val="000000"/>
          <w:sz w:val="28"/>
          <w:szCs w:val="28"/>
          <w:lang w:val="vi-VN"/>
        </w:rPr>
        <w:t xml:space="preserve"> </w:t>
      </w:r>
      <w:r w:rsidRPr="00A17E28">
        <w:rPr>
          <w:sz w:val="28"/>
          <w:szCs w:val="28"/>
          <w:highlight w:val="white"/>
        </w:rPr>
        <w:t>Tiểu dự án 4 Dự án 5</w:t>
      </w:r>
      <w:r>
        <w:rPr>
          <w:sz w:val="28"/>
          <w:szCs w:val="28"/>
        </w:rPr>
        <w:t xml:space="preserve"> - </w:t>
      </w:r>
      <w:r w:rsidR="00A17E28" w:rsidRPr="00A17E28">
        <w:rPr>
          <w:color w:val="000000"/>
          <w:sz w:val="28"/>
          <w:szCs w:val="28"/>
          <w:lang w:val="vi-VN"/>
        </w:rPr>
        <w:t>Đào tạo nâng cao năng lực cho cộng đồng và cán bộ triển khai Chương trình ở các cấp</w:t>
      </w:r>
      <w:r w:rsidR="00A17E28" w:rsidRPr="00A17E28">
        <w:rPr>
          <w:sz w:val="28"/>
          <w:szCs w:val="28"/>
          <w:highlight w:val="white"/>
        </w:rPr>
        <w:t xml:space="preserve"> </w:t>
      </w:r>
      <w:r w:rsidR="00A17E28" w:rsidRPr="00A17E28">
        <w:rPr>
          <w:sz w:val="28"/>
          <w:szCs w:val="28"/>
        </w:rPr>
        <w:t xml:space="preserve">(điểm </w:t>
      </w:r>
      <w:r w:rsidR="008E4B10">
        <w:rPr>
          <w:sz w:val="28"/>
          <w:szCs w:val="28"/>
        </w:rPr>
        <w:t>b</w:t>
      </w:r>
      <w:r w:rsidR="00A17E28" w:rsidRPr="00A17E28">
        <w:rPr>
          <w:sz w:val="28"/>
          <w:szCs w:val="28"/>
        </w:rPr>
        <w:t xml:space="preserve"> khoản </w:t>
      </w:r>
      <w:r>
        <w:rPr>
          <w:sz w:val="28"/>
          <w:szCs w:val="28"/>
        </w:rPr>
        <w:t>1</w:t>
      </w:r>
      <w:r w:rsidR="00A17E28" w:rsidRPr="00A17E28">
        <w:rPr>
          <w:sz w:val="28"/>
          <w:szCs w:val="28"/>
        </w:rPr>
        <w:t xml:space="preserve"> Điều 1 dự thảo Nghị quyết):</w:t>
      </w:r>
    </w:p>
    <w:p w14:paraId="7C53872A" w14:textId="318F8A54" w:rsidR="00A17E28" w:rsidRDefault="008E4B10" w:rsidP="00011AEC">
      <w:pPr>
        <w:spacing w:before="120" w:line="360" w:lineRule="exact"/>
        <w:ind w:firstLine="709"/>
        <w:jc w:val="both"/>
        <w:rPr>
          <w:sz w:val="28"/>
          <w:szCs w:val="28"/>
          <w:highlight w:val="white"/>
        </w:rPr>
      </w:pPr>
      <w:r w:rsidRPr="008E4B10">
        <w:rPr>
          <w:sz w:val="28"/>
          <w:szCs w:val="28"/>
          <w:highlight w:val="white"/>
        </w:rPr>
        <w:t xml:space="preserve">Định mức phân bổ hiện tại </w:t>
      </w:r>
      <w:r w:rsidR="00A17E28" w:rsidRPr="008E4B10">
        <w:rPr>
          <w:sz w:val="28"/>
          <w:szCs w:val="28"/>
          <w:highlight w:val="white"/>
        </w:rPr>
        <w:t xml:space="preserve">mới chỉ phân bổ cho Ban Dân tộc </w:t>
      </w:r>
      <w:r w:rsidR="005F2958">
        <w:rPr>
          <w:sz w:val="28"/>
          <w:szCs w:val="28"/>
          <w:highlight w:val="white"/>
        </w:rPr>
        <w:t xml:space="preserve">tỉnh </w:t>
      </w:r>
      <w:r>
        <w:rPr>
          <w:sz w:val="28"/>
          <w:szCs w:val="28"/>
          <w:highlight w:val="white"/>
        </w:rPr>
        <w:t>tối đa</w:t>
      </w:r>
      <w:r w:rsidR="00A17E28" w:rsidRPr="008E4B10">
        <w:rPr>
          <w:sz w:val="28"/>
          <w:szCs w:val="28"/>
          <w:highlight w:val="white"/>
        </w:rPr>
        <w:t xml:space="preserve"> 5% tổng số vốn của tiểu dự án này là chưa phù hợp; thực tế còn</w:t>
      </w:r>
      <w:r w:rsidR="005F2958">
        <w:rPr>
          <w:sz w:val="28"/>
          <w:szCs w:val="28"/>
          <w:highlight w:val="white"/>
        </w:rPr>
        <w:t xml:space="preserve"> một số đơn vị như Sở Kế hoạch và</w:t>
      </w:r>
      <w:r w:rsidR="00A17E28" w:rsidRPr="008E4B10">
        <w:rPr>
          <w:sz w:val="28"/>
          <w:szCs w:val="28"/>
          <w:highlight w:val="white"/>
        </w:rPr>
        <w:t xml:space="preserve"> Đầu tư, Sở Tài chính, Sở Nông nghiệp và Phát triển nông thôn, Sở Xây dựng có nhu cầu thực hiện, tuy nhiên chưa được phân bổ kinh phí, mức phân bổ 5% cho đơn vị cấp tỉnh cũng chưa đảm bảo đủ nguồn </w:t>
      </w:r>
      <w:r>
        <w:rPr>
          <w:sz w:val="28"/>
          <w:szCs w:val="28"/>
          <w:highlight w:val="white"/>
        </w:rPr>
        <w:t xml:space="preserve">kinh phí </w:t>
      </w:r>
      <w:r w:rsidR="00A17E28" w:rsidRPr="008E4B10">
        <w:rPr>
          <w:sz w:val="28"/>
          <w:szCs w:val="28"/>
          <w:highlight w:val="white"/>
        </w:rPr>
        <w:t>thực hiện, trong khi tại các huyện</w:t>
      </w:r>
      <w:r>
        <w:rPr>
          <w:sz w:val="28"/>
          <w:szCs w:val="28"/>
          <w:highlight w:val="white"/>
        </w:rPr>
        <w:t>,</w:t>
      </w:r>
      <w:r w:rsidR="00A17E28" w:rsidRPr="008E4B10">
        <w:rPr>
          <w:sz w:val="28"/>
          <w:szCs w:val="28"/>
          <w:highlight w:val="white"/>
        </w:rPr>
        <w:t xml:space="preserve"> thành phố qua 02 năm thực hiện </w:t>
      </w:r>
      <w:r w:rsidR="005F2958">
        <w:rPr>
          <w:sz w:val="28"/>
          <w:szCs w:val="28"/>
          <w:highlight w:val="white"/>
        </w:rPr>
        <w:t xml:space="preserve">lại </w:t>
      </w:r>
      <w:r w:rsidR="00A17E28" w:rsidRPr="008E4B10">
        <w:rPr>
          <w:sz w:val="28"/>
          <w:szCs w:val="28"/>
          <w:highlight w:val="white"/>
        </w:rPr>
        <w:t xml:space="preserve">dư </w:t>
      </w:r>
      <w:r>
        <w:rPr>
          <w:sz w:val="28"/>
          <w:szCs w:val="28"/>
          <w:highlight w:val="white"/>
        </w:rPr>
        <w:t xml:space="preserve">kinh phí </w:t>
      </w:r>
      <w:r w:rsidR="005F2958">
        <w:rPr>
          <w:sz w:val="28"/>
          <w:szCs w:val="28"/>
          <w:highlight w:val="white"/>
        </w:rPr>
        <w:t>rất lớn, c</w:t>
      </w:r>
      <w:r>
        <w:rPr>
          <w:sz w:val="28"/>
          <w:szCs w:val="28"/>
          <w:highlight w:val="white"/>
        </w:rPr>
        <w:t>ụ thể:</w:t>
      </w:r>
    </w:p>
    <w:p w14:paraId="62070BF3" w14:textId="40FBAE86" w:rsidR="008E4B10" w:rsidRDefault="00CE5B72" w:rsidP="00011AEC">
      <w:pPr>
        <w:spacing w:before="120" w:line="360" w:lineRule="exact"/>
        <w:ind w:firstLine="709"/>
        <w:jc w:val="both"/>
        <w:rPr>
          <w:color w:val="000000"/>
          <w:sz w:val="28"/>
          <w:szCs w:val="28"/>
        </w:rPr>
      </w:pPr>
      <w:r>
        <w:rPr>
          <w:color w:val="000000"/>
          <w:sz w:val="28"/>
          <w:szCs w:val="28"/>
        </w:rPr>
        <w:t xml:space="preserve">Về </w:t>
      </w:r>
      <w:r w:rsidRPr="00A17E28">
        <w:rPr>
          <w:color w:val="000000"/>
          <w:sz w:val="28"/>
          <w:szCs w:val="28"/>
          <w:lang w:val="vi-VN"/>
        </w:rPr>
        <w:t>nâng cao năng lực cho cộng đồng và cán bộ triển khai Chương trình ở các cấp</w:t>
      </w:r>
      <w:r w:rsidR="005F2958">
        <w:rPr>
          <w:color w:val="000000"/>
          <w:sz w:val="28"/>
          <w:szCs w:val="28"/>
        </w:rPr>
        <w:t>: Sở Kế hoạch và</w:t>
      </w:r>
      <w:r>
        <w:rPr>
          <w:color w:val="000000"/>
          <w:sz w:val="28"/>
          <w:szCs w:val="28"/>
        </w:rPr>
        <w:t xml:space="preserve"> Đầu tư có thể thực hiện tập huấn cho các đơn vị, địa phương về </w:t>
      </w:r>
      <w:r w:rsidR="005F2958">
        <w:rPr>
          <w:color w:val="000000"/>
          <w:sz w:val="28"/>
          <w:szCs w:val="28"/>
        </w:rPr>
        <w:t>q</w:t>
      </w:r>
      <w:r w:rsidR="005F2958" w:rsidRPr="005F2958">
        <w:rPr>
          <w:color w:val="000000"/>
          <w:sz w:val="28"/>
          <w:szCs w:val="28"/>
        </w:rPr>
        <w:t>uy trình lập kế hoạch</w:t>
      </w:r>
      <w:r w:rsidR="005F2958">
        <w:rPr>
          <w:color w:val="000000"/>
          <w:sz w:val="28"/>
          <w:szCs w:val="28"/>
        </w:rPr>
        <w:t xml:space="preserve"> năm, giai đoạn,</w:t>
      </w:r>
      <w:r w:rsidR="005F2958" w:rsidRPr="005F2958">
        <w:rPr>
          <w:color w:val="000000"/>
          <w:sz w:val="28"/>
          <w:szCs w:val="28"/>
        </w:rPr>
        <w:t xml:space="preserve"> quy trình, kỹ năng làm chủ đầu tư</w:t>
      </w:r>
      <w:r>
        <w:rPr>
          <w:color w:val="000000"/>
          <w:sz w:val="28"/>
          <w:szCs w:val="28"/>
        </w:rPr>
        <w:t xml:space="preserve">, </w:t>
      </w:r>
      <w:r w:rsidR="005F2958">
        <w:rPr>
          <w:color w:val="000000"/>
          <w:sz w:val="28"/>
          <w:szCs w:val="28"/>
        </w:rPr>
        <w:t>tập huấn Luật Đấu thầu,</w:t>
      </w:r>
      <w:r w:rsidR="005F2958" w:rsidRPr="005F2958">
        <w:rPr>
          <w:color w:val="000000"/>
          <w:sz w:val="28"/>
          <w:szCs w:val="28"/>
        </w:rPr>
        <w:t xml:space="preserve"> nghiệp vụ đấu thầu</w:t>
      </w:r>
      <w:r>
        <w:rPr>
          <w:color w:val="000000"/>
          <w:sz w:val="28"/>
          <w:szCs w:val="28"/>
        </w:rPr>
        <w:t>; Sở Tài chính tập huấn về công tác</w:t>
      </w:r>
      <w:r w:rsidR="005F2958">
        <w:rPr>
          <w:color w:val="000000"/>
          <w:sz w:val="28"/>
          <w:szCs w:val="28"/>
        </w:rPr>
        <w:t xml:space="preserve"> thanh quyết toán các nguồn vốn;</w:t>
      </w:r>
      <w:r>
        <w:rPr>
          <w:color w:val="000000"/>
          <w:sz w:val="28"/>
          <w:szCs w:val="28"/>
        </w:rPr>
        <w:t xml:space="preserve"> Sở Nông nghiệp và Phát triển nông thôn tập huấn về trình tự, các bước, các nội dung triển khai thực hiện dự án hỗ trợ phát triển sản xuất, tập huấn nội dung về </w:t>
      </w:r>
      <w:r w:rsidR="00972CC1">
        <w:rPr>
          <w:color w:val="000000"/>
          <w:sz w:val="28"/>
          <w:szCs w:val="28"/>
        </w:rPr>
        <w:t xml:space="preserve">đầu tư bảo vệ và phát triển rừng theo các quy định, đặc biệt hiện nay Chính phủ mới ban hành Nghị định 58/2024/NĐ-CP ngày 24/5/2024 nên việc triển khai các lớp tập huấn cho cơ sở là rất cần thiết; Sở Xây dựng tập huấn </w:t>
      </w:r>
      <w:r w:rsidR="005F2958" w:rsidRPr="005F2958">
        <w:rPr>
          <w:color w:val="000000"/>
          <w:sz w:val="28"/>
          <w:szCs w:val="28"/>
        </w:rPr>
        <w:t>các nội dung liên quan đến</w:t>
      </w:r>
      <w:r w:rsidR="005F2958">
        <w:rPr>
          <w:color w:val="000000"/>
          <w:sz w:val="28"/>
          <w:szCs w:val="28"/>
        </w:rPr>
        <w:t xml:space="preserve"> t</w:t>
      </w:r>
      <w:r w:rsidR="005F2958" w:rsidRPr="005F2958">
        <w:rPr>
          <w:color w:val="000000"/>
          <w:sz w:val="28"/>
          <w:szCs w:val="28"/>
        </w:rPr>
        <w:t>hực hiện duy tu, bảo dưỡng, sửa chữa c</w:t>
      </w:r>
      <w:r w:rsidR="005F2958">
        <w:rPr>
          <w:color w:val="000000"/>
          <w:sz w:val="28"/>
          <w:szCs w:val="28"/>
        </w:rPr>
        <w:t>ác công trình hạ tầng thiết yếu giám sát đầu tư cộng đồng,</w:t>
      </w:r>
      <w:r w:rsidR="005F2958" w:rsidRPr="005F2958">
        <w:rPr>
          <w:color w:val="000000"/>
          <w:sz w:val="28"/>
          <w:szCs w:val="28"/>
        </w:rPr>
        <w:t xml:space="preserve"> thực hiện các công trình đặc thù</w:t>
      </w:r>
      <w:r w:rsidR="00972CC1">
        <w:rPr>
          <w:color w:val="000000"/>
          <w:sz w:val="28"/>
          <w:szCs w:val="28"/>
        </w:rPr>
        <w:t>.</w:t>
      </w:r>
    </w:p>
    <w:p w14:paraId="1506CE9E" w14:textId="4A40FE73" w:rsidR="00972CC1" w:rsidRDefault="00972CC1" w:rsidP="00011AEC">
      <w:pPr>
        <w:spacing w:before="120" w:line="360" w:lineRule="exact"/>
        <w:ind w:firstLine="709"/>
        <w:jc w:val="both"/>
        <w:rPr>
          <w:color w:val="000000"/>
          <w:sz w:val="28"/>
          <w:szCs w:val="28"/>
        </w:rPr>
      </w:pPr>
      <w:r>
        <w:rPr>
          <w:color w:val="000000"/>
          <w:sz w:val="28"/>
          <w:szCs w:val="28"/>
        </w:rPr>
        <w:t>Qua thăm nắm thực tế, các cán bộ, công chức ở cơ sở vẫn còn nhiều lúng túng trong triển khai thực hiện</w:t>
      </w:r>
      <w:r w:rsidR="00192713" w:rsidRPr="00192713">
        <w:rPr>
          <w:color w:val="000000"/>
          <w:sz w:val="28"/>
          <w:szCs w:val="28"/>
        </w:rPr>
        <w:t xml:space="preserve"> </w:t>
      </w:r>
      <w:r w:rsidR="00192713">
        <w:rPr>
          <w:color w:val="000000"/>
          <w:sz w:val="28"/>
          <w:szCs w:val="28"/>
        </w:rPr>
        <w:t>các nội dung nêu trên</w:t>
      </w:r>
      <w:r>
        <w:rPr>
          <w:color w:val="000000"/>
          <w:sz w:val="28"/>
          <w:szCs w:val="28"/>
        </w:rPr>
        <w:t>, chính vì vậy, việc tập huấn để nâng cao năng lực triển khai thực hiện là rất cần thiết.</w:t>
      </w:r>
    </w:p>
    <w:p w14:paraId="4DE69ADB" w14:textId="0DC6F199" w:rsidR="00192713" w:rsidRDefault="00972CC1" w:rsidP="00011AEC">
      <w:pPr>
        <w:spacing w:before="120" w:line="360" w:lineRule="exact"/>
        <w:ind w:firstLine="709"/>
        <w:jc w:val="both"/>
        <w:rPr>
          <w:color w:val="000000"/>
          <w:sz w:val="28"/>
          <w:szCs w:val="28"/>
        </w:rPr>
      </w:pPr>
      <w:r>
        <w:rPr>
          <w:color w:val="000000"/>
          <w:sz w:val="28"/>
          <w:szCs w:val="28"/>
        </w:rPr>
        <w:t xml:space="preserve">Với mức phân bổ </w:t>
      </w:r>
      <w:r w:rsidR="005F2958">
        <w:rPr>
          <w:color w:val="000000"/>
          <w:sz w:val="28"/>
          <w:szCs w:val="28"/>
        </w:rPr>
        <w:t xml:space="preserve">vốn </w:t>
      </w:r>
      <w:r>
        <w:rPr>
          <w:color w:val="000000"/>
          <w:sz w:val="28"/>
          <w:szCs w:val="28"/>
        </w:rPr>
        <w:t>cho đơn vị cấp tỉnh hiện nay là 5%</w:t>
      </w:r>
      <w:r w:rsidR="005F2958">
        <w:rPr>
          <w:color w:val="000000"/>
          <w:sz w:val="28"/>
          <w:szCs w:val="28"/>
        </w:rPr>
        <w:t>, tương ứng khoảng 7</w:t>
      </w:r>
      <w:r w:rsidR="000C34CE">
        <w:rPr>
          <w:color w:val="000000"/>
          <w:sz w:val="28"/>
          <w:szCs w:val="28"/>
        </w:rPr>
        <w:t>77</w:t>
      </w:r>
      <w:r w:rsidR="005F2958">
        <w:rPr>
          <w:color w:val="000000"/>
          <w:sz w:val="28"/>
          <w:szCs w:val="28"/>
        </w:rPr>
        <w:t xml:space="preserve"> triệu đồng (năm 2023 là 791 triệu đồng, năm 2024 là 762 triệu đồng)</w:t>
      </w:r>
      <w:r>
        <w:rPr>
          <w:color w:val="000000"/>
          <w:sz w:val="28"/>
          <w:szCs w:val="28"/>
        </w:rPr>
        <w:t xml:space="preserve"> cơ bản mới đáp ứng được phần nhiệm vụ do Ban Dân tộc tỉnh triển khai thực hiện; dự kiến sang năm 2025, </w:t>
      </w:r>
      <w:r w:rsidR="00192713">
        <w:rPr>
          <w:color w:val="000000"/>
          <w:sz w:val="28"/>
          <w:szCs w:val="28"/>
        </w:rPr>
        <w:t xml:space="preserve">ngoài các nội dung </w:t>
      </w:r>
      <w:r>
        <w:rPr>
          <w:color w:val="000000"/>
          <w:sz w:val="28"/>
          <w:szCs w:val="28"/>
        </w:rPr>
        <w:t xml:space="preserve">Ban Dân tộc tỉnh triển khai </w:t>
      </w:r>
      <w:r w:rsidR="00192713">
        <w:rPr>
          <w:color w:val="000000"/>
          <w:sz w:val="28"/>
          <w:szCs w:val="28"/>
        </w:rPr>
        <w:t xml:space="preserve">thực hiện (tương ứng với số kinh phí khoảng </w:t>
      </w:r>
      <w:r w:rsidR="00192713" w:rsidRPr="00192713">
        <w:rPr>
          <w:color w:val="000000"/>
          <w:sz w:val="28"/>
          <w:szCs w:val="28"/>
        </w:rPr>
        <w:t>7</w:t>
      </w:r>
      <w:r w:rsidR="000C34CE">
        <w:rPr>
          <w:color w:val="000000"/>
          <w:sz w:val="28"/>
          <w:szCs w:val="28"/>
        </w:rPr>
        <w:t>77</w:t>
      </w:r>
      <w:r w:rsidR="00192713" w:rsidRPr="00192713">
        <w:rPr>
          <w:color w:val="000000"/>
          <w:sz w:val="28"/>
          <w:szCs w:val="28"/>
        </w:rPr>
        <w:t xml:space="preserve"> triệu đồng</w:t>
      </w:r>
      <w:r w:rsidR="00192713">
        <w:rPr>
          <w:color w:val="000000"/>
          <w:sz w:val="28"/>
          <w:szCs w:val="28"/>
        </w:rPr>
        <w:t xml:space="preserve">) thì các đơn vị cấp tỉnh khác </w:t>
      </w:r>
      <w:r w:rsidR="000C34CE">
        <w:rPr>
          <w:color w:val="000000"/>
          <w:sz w:val="28"/>
          <w:szCs w:val="28"/>
        </w:rPr>
        <w:t xml:space="preserve">cũng </w:t>
      </w:r>
      <w:r w:rsidR="00192713">
        <w:rPr>
          <w:color w:val="000000"/>
          <w:sz w:val="28"/>
          <w:szCs w:val="28"/>
        </w:rPr>
        <w:t>có nhu cầu kinh phí khoảng 796 triệu đồng để triển khai các lớp tập huấn nâng cao năng lực cho cán bộ cơ sở (</w:t>
      </w:r>
      <w:r w:rsidR="00192713" w:rsidRPr="00192713">
        <w:rPr>
          <w:i/>
          <w:color w:val="000000"/>
          <w:sz w:val="28"/>
          <w:szCs w:val="28"/>
        </w:rPr>
        <w:t xml:space="preserve">Chi tiết theo biểu số 02 đính </w:t>
      </w:r>
      <w:r w:rsidR="00192713" w:rsidRPr="00192713">
        <w:rPr>
          <w:i/>
          <w:color w:val="000000"/>
          <w:sz w:val="28"/>
          <w:szCs w:val="28"/>
        </w:rPr>
        <w:lastRenderedPageBreak/>
        <w:t>kèm</w:t>
      </w:r>
      <w:r w:rsidR="00192713">
        <w:rPr>
          <w:color w:val="000000"/>
          <w:sz w:val="28"/>
          <w:szCs w:val="28"/>
        </w:rPr>
        <w:t>). Số kinh phí này tương đương với mức kinh phí bình quân 5% của Tiểu dự án 4</w:t>
      </w:r>
      <w:r w:rsidR="000C34CE">
        <w:rPr>
          <w:color w:val="000000"/>
          <w:sz w:val="28"/>
          <w:szCs w:val="28"/>
        </w:rPr>
        <w:t xml:space="preserve"> (777 triệu đồng) phân bổ Ban Dân tộc tỉnh, theo đó tổng nhu cầu kinh phí của các đơn vị cấp tỉnh để thực hiện Tiểu dự án 4, Dự án 5 khoảng 1.573 triệu đồng, tương ứng với khoảng 10% tổng số vốn của </w:t>
      </w:r>
      <w:r w:rsidR="000C34CE" w:rsidRPr="000C34CE">
        <w:rPr>
          <w:color w:val="000000"/>
          <w:sz w:val="28"/>
          <w:szCs w:val="28"/>
        </w:rPr>
        <w:t>Tiểu dự án 4, Dự án 5</w:t>
      </w:r>
      <w:r w:rsidR="000C34CE">
        <w:rPr>
          <w:color w:val="000000"/>
          <w:sz w:val="28"/>
          <w:szCs w:val="28"/>
        </w:rPr>
        <w:t>.</w:t>
      </w:r>
    </w:p>
    <w:p w14:paraId="260AD6F2" w14:textId="731FAE59" w:rsidR="000968A7" w:rsidRDefault="000C34CE" w:rsidP="00011AEC">
      <w:pPr>
        <w:spacing w:before="120" w:line="360" w:lineRule="exact"/>
        <w:ind w:firstLine="709"/>
        <w:jc w:val="both"/>
        <w:rPr>
          <w:sz w:val="28"/>
          <w:szCs w:val="28"/>
        </w:rPr>
      </w:pPr>
      <w:r>
        <w:rPr>
          <w:color w:val="000000"/>
          <w:sz w:val="28"/>
          <w:szCs w:val="28"/>
        </w:rPr>
        <w:t>Như vậy</w:t>
      </w:r>
      <w:r w:rsidR="000968A7">
        <w:rPr>
          <w:color w:val="000000"/>
          <w:sz w:val="28"/>
          <w:szCs w:val="28"/>
        </w:rPr>
        <w:t xml:space="preserve">, </w:t>
      </w:r>
      <w:r>
        <w:rPr>
          <w:color w:val="000000"/>
          <w:sz w:val="28"/>
          <w:szCs w:val="28"/>
        </w:rPr>
        <w:t xml:space="preserve">với định </w:t>
      </w:r>
      <w:r w:rsidR="000968A7">
        <w:rPr>
          <w:color w:val="000000"/>
          <w:sz w:val="28"/>
          <w:szCs w:val="28"/>
        </w:rPr>
        <w:t xml:space="preserve">mức phân bổ cho đơn vị cấp tỉnh </w:t>
      </w:r>
      <w:r w:rsidR="001109D8" w:rsidRPr="000C34CE">
        <w:rPr>
          <w:color w:val="000000"/>
          <w:sz w:val="28"/>
          <w:szCs w:val="28"/>
        </w:rPr>
        <w:t>khoảng</w:t>
      </w:r>
      <w:r w:rsidR="000968A7" w:rsidRPr="000C34CE">
        <w:rPr>
          <w:color w:val="000000"/>
          <w:sz w:val="28"/>
          <w:szCs w:val="28"/>
        </w:rPr>
        <w:t xml:space="preserve"> 1</w:t>
      </w:r>
      <w:r w:rsidRPr="000C34CE">
        <w:rPr>
          <w:color w:val="000000"/>
          <w:sz w:val="28"/>
          <w:szCs w:val="28"/>
        </w:rPr>
        <w:t>0</w:t>
      </w:r>
      <w:r w:rsidR="000968A7" w:rsidRPr="000C34CE">
        <w:rPr>
          <w:color w:val="000000"/>
          <w:sz w:val="28"/>
          <w:szCs w:val="28"/>
        </w:rPr>
        <w:t>%</w:t>
      </w:r>
      <w:r w:rsidR="001109D8" w:rsidRPr="000C34CE">
        <w:rPr>
          <w:sz w:val="28"/>
          <w:szCs w:val="28"/>
        </w:rPr>
        <w:t xml:space="preserve"> tổng </w:t>
      </w:r>
      <w:r w:rsidR="001109D8" w:rsidRPr="008E4B10">
        <w:rPr>
          <w:sz w:val="28"/>
          <w:szCs w:val="28"/>
          <w:highlight w:val="white"/>
        </w:rPr>
        <w:t>số vốn của tiểu dự án</w:t>
      </w:r>
      <w:r w:rsidR="001109D8">
        <w:rPr>
          <w:sz w:val="28"/>
          <w:szCs w:val="28"/>
        </w:rPr>
        <w:t xml:space="preserve"> 4</w:t>
      </w:r>
      <w:r>
        <w:rPr>
          <w:sz w:val="28"/>
          <w:szCs w:val="28"/>
        </w:rPr>
        <w:t>, dự án 5</w:t>
      </w:r>
      <w:r w:rsidR="001109D8">
        <w:rPr>
          <w:sz w:val="28"/>
          <w:szCs w:val="28"/>
        </w:rPr>
        <w:t xml:space="preserve"> mới đảm bảo nhu cầu kinh phí cho các đơn vị triển khai thực hiện nhiệm vụ.</w:t>
      </w:r>
    </w:p>
    <w:p w14:paraId="1ECC26CF" w14:textId="6B045923" w:rsidR="001109D8" w:rsidRDefault="00006248" w:rsidP="00011AEC">
      <w:pPr>
        <w:spacing w:before="120" w:line="360" w:lineRule="exact"/>
        <w:ind w:firstLine="709"/>
        <w:jc w:val="both"/>
        <w:rPr>
          <w:sz w:val="28"/>
          <w:szCs w:val="28"/>
        </w:rPr>
      </w:pPr>
      <w:r>
        <w:rPr>
          <w:sz w:val="28"/>
          <w:szCs w:val="28"/>
        </w:rPr>
        <w:t>3</w:t>
      </w:r>
      <w:r w:rsidR="001109D8">
        <w:rPr>
          <w:sz w:val="28"/>
          <w:szCs w:val="28"/>
        </w:rPr>
        <w:t xml:space="preserve">. </w:t>
      </w:r>
      <w:r>
        <w:rPr>
          <w:sz w:val="28"/>
          <w:szCs w:val="28"/>
        </w:rPr>
        <w:t xml:space="preserve">Dự án 8 - </w:t>
      </w:r>
      <w:r w:rsidR="001109D8">
        <w:rPr>
          <w:sz w:val="28"/>
          <w:szCs w:val="28"/>
        </w:rPr>
        <w:t xml:space="preserve">Thực hiện bình đẳng giới và giải quyết những vấn đề cấp thiết đối với phụ nữ và trẻ em (khoản </w:t>
      </w:r>
      <w:r>
        <w:rPr>
          <w:sz w:val="28"/>
          <w:szCs w:val="28"/>
        </w:rPr>
        <w:t>2</w:t>
      </w:r>
      <w:r w:rsidR="001109D8">
        <w:rPr>
          <w:sz w:val="28"/>
          <w:szCs w:val="28"/>
        </w:rPr>
        <w:t xml:space="preserve"> Điều 1 dự thảo Nghị quyết):</w:t>
      </w:r>
    </w:p>
    <w:p w14:paraId="7B3BA76E" w14:textId="2E5381D3" w:rsidR="001109D8" w:rsidRDefault="001109D8" w:rsidP="00011AEC">
      <w:pPr>
        <w:spacing w:before="120" w:line="360" w:lineRule="exact"/>
        <w:ind w:firstLine="709"/>
        <w:jc w:val="both"/>
        <w:rPr>
          <w:sz w:val="28"/>
          <w:szCs w:val="28"/>
        </w:rPr>
      </w:pPr>
      <w:r>
        <w:rPr>
          <w:sz w:val="28"/>
          <w:szCs w:val="28"/>
        </w:rPr>
        <w:t xml:space="preserve">Định mức hiện tại </w:t>
      </w:r>
      <w:r w:rsidR="00182BD0">
        <w:rPr>
          <w:sz w:val="28"/>
          <w:szCs w:val="28"/>
        </w:rPr>
        <w:t xml:space="preserve">mới chỉ </w:t>
      </w:r>
      <w:r>
        <w:rPr>
          <w:sz w:val="28"/>
          <w:szCs w:val="28"/>
        </w:rPr>
        <w:t xml:space="preserve">phân bổ cho Hội Liên hiệp Phụ nữ tỉnh </w:t>
      </w:r>
      <w:r w:rsidR="00182BD0" w:rsidRPr="00182BD0">
        <w:rPr>
          <w:sz w:val="28"/>
          <w:szCs w:val="28"/>
          <w:highlight w:val="white"/>
        </w:rPr>
        <w:t xml:space="preserve">tối đa 12% </w:t>
      </w:r>
      <w:r w:rsidR="00182BD0" w:rsidRPr="00182BD0">
        <w:rPr>
          <w:sz w:val="28"/>
          <w:szCs w:val="28"/>
        </w:rPr>
        <w:t>tổng số vốn sự nghiệp của dự án 8</w:t>
      </w:r>
      <w:r w:rsidR="00182BD0">
        <w:rPr>
          <w:sz w:val="28"/>
          <w:szCs w:val="28"/>
        </w:rPr>
        <w:t>.</w:t>
      </w:r>
    </w:p>
    <w:p w14:paraId="54A84AA0" w14:textId="6F12B1F0" w:rsidR="00182BD0" w:rsidRDefault="00062ADA" w:rsidP="00011AEC">
      <w:pPr>
        <w:spacing w:before="120" w:line="360" w:lineRule="exact"/>
        <w:ind w:firstLine="709"/>
        <w:jc w:val="both"/>
        <w:rPr>
          <w:sz w:val="28"/>
          <w:szCs w:val="28"/>
        </w:rPr>
      </w:pPr>
      <w:r>
        <w:rPr>
          <w:sz w:val="28"/>
          <w:szCs w:val="28"/>
        </w:rPr>
        <w:t>Tuy nhiên, theo báo cáo của Hội Liên hiệp phụ nữ tỉnh thì</w:t>
      </w:r>
      <w:r w:rsidR="00182BD0">
        <w:rPr>
          <w:sz w:val="28"/>
          <w:szCs w:val="28"/>
        </w:rPr>
        <w:t xml:space="preserve"> </w:t>
      </w:r>
      <w:r>
        <w:rPr>
          <w:sz w:val="28"/>
          <w:szCs w:val="28"/>
        </w:rPr>
        <w:t>giữa Bộ Giáo dục và Đào tạo, Bộ Văn hóa, Thể thao và Du lịch và Trung ương Hội liên hiệp phụ nữ Việt Nam đã ban hành Kế hoạch phối hợp cùng triển khai thực hiện Dự án 8 từ Trung ương đến địa phương phù hợp với chức năng, nhiệm vụ của từng ngành, cụ thể như sau:</w:t>
      </w:r>
    </w:p>
    <w:p w14:paraId="63619A88" w14:textId="5BB45E54" w:rsidR="00062ADA" w:rsidRPr="00062ADA" w:rsidRDefault="00062ADA" w:rsidP="00062ADA">
      <w:pPr>
        <w:spacing w:before="120" w:line="360" w:lineRule="exact"/>
        <w:ind w:firstLine="709"/>
        <w:jc w:val="both"/>
        <w:rPr>
          <w:sz w:val="28"/>
          <w:szCs w:val="28"/>
        </w:rPr>
      </w:pPr>
      <w:r>
        <w:rPr>
          <w:sz w:val="28"/>
          <w:szCs w:val="28"/>
        </w:rPr>
        <w:t>N</w:t>
      </w:r>
      <w:r w:rsidRPr="00062ADA">
        <w:rPr>
          <w:sz w:val="28"/>
          <w:szCs w:val="28"/>
        </w:rPr>
        <w:t>gày 22/5/2023</w:t>
      </w:r>
      <w:r>
        <w:rPr>
          <w:sz w:val="28"/>
          <w:szCs w:val="28"/>
        </w:rPr>
        <w:t xml:space="preserve">, </w:t>
      </w:r>
      <w:r w:rsidRPr="00062ADA">
        <w:rPr>
          <w:sz w:val="28"/>
          <w:szCs w:val="28"/>
        </w:rPr>
        <w:t xml:space="preserve">Bộ Giáo dục và Đào tạo và Hội Liên hiệp phụ nữ Việt Nam </w:t>
      </w:r>
      <w:r>
        <w:rPr>
          <w:sz w:val="28"/>
          <w:szCs w:val="28"/>
        </w:rPr>
        <w:t>đã ban hành</w:t>
      </w:r>
      <w:r w:rsidRPr="00062ADA">
        <w:rPr>
          <w:sz w:val="28"/>
          <w:szCs w:val="28"/>
        </w:rPr>
        <w:t xml:space="preserve"> Kế hoạch phối hợp số 784/KHPH-BGDĐT-HLHPNVN về thực hiện Dự án 8 “Thực hiện bình đẳng giới và giải quyết những vấn đề cấp thiết đối với phụ nữ và trẻ em” trong Chương trình mục tiêu quốc gia phát triển kinh tế - xã hội vùng đồng bào dân tộc thiểu số và miền núi giai đoạn 2021-2030, từ năm 2023 đến năm 2025; </w:t>
      </w:r>
      <w:r>
        <w:rPr>
          <w:sz w:val="28"/>
          <w:szCs w:val="28"/>
        </w:rPr>
        <w:t xml:space="preserve">ngày 14/7/2023, </w:t>
      </w:r>
      <w:r w:rsidR="0053051C" w:rsidRPr="00062ADA">
        <w:rPr>
          <w:sz w:val="28"/>
          <w:szCs w:val="28"/>
        </w:rPr>
        <w:t>Bộ Văn hoá, Thể thao và Du lịch</w:t>
      </w:r>
      <w:r w:rsidR="0053051C">
        <w:rPr>
          <w:sz w:val="28"/>
          <w:szCs w:val="28"/>
        </w:rPr>
        <w:t xml:space="preserve"> </w:t>
      </w:r>
      <w:r w:rsidR="0053051C" w:rsidRPr="00062ADA">
        <w:rPr>
          <w:sz w:val="28"/>
          <w:szCs w:val="28"/>
        </w:rPr>
        <w:t xml:space="preserve">và Hội Liên hiệp phụ nữ Việt Nam </w:t>
      </w:r>
      <w:r w:rsidR="0053051C">
        <w:rPr>
          <w:sz w:val="28"/>
          <w:szCs w:val="28"/>
        </w:rPr>
        <w:t>đã ban hành</w:t>
      </w:r>
      <w:r w:rsidR="0053051C" w:rsidRPr="00062ADA">
        <w:rPr>
          <w:sz w:val="28"/>
          <w:szCs w:val="28"/>
        </w:rPr>
        <w:t xml:space="preserve"> Kế hoạch phối hợp số</w:t>
      </w:r>
      <w:r w:rsidR="0053051C">
        <w:rPr>
          <w:sz w:val="28"/>
          <w:szCs w:val="28"/>
        </w:rPr>
        <w:t xml:space="preserve"> </w:t>
      </w:r>
      <w:r w:rsidR="0053051C" w:rsidRPr="00062ADA">
        <w:rPr>
          <w:sz w:val="28"/>
          <w:szCs w:val="28"/>
        </w:rPr>
        <w:t>2639/KHPH-BVHTTDL-HLHPNVN</w:t>
      </w:r>
      <w:r w:rsidR="0053051C">
        <w:rPr>
          <w:sz w:val="28"/>
          <w:szCs w:val="28"/>
        </w:rPr>
        <w:t xml:space="preserve"> về t</w:t>
      </w:r>
      <w:r w:rsidR="0053051C" w:rsidRPr="0053051C">
        <w:rPr>
          <w:sz w:val="28"/>
          <w:szCs w:val="28"/>
        </w:rPr>
        <w:t>hực hiện công tác gia đình và các nhiệm vụ thuộc Dự án 8 Chương trình mục tiêu quốc gia phát triển kinh tế - xã hội vùng đồng bào dân tộc thiểu số giai đoạn 2023-2025</w:t>
      </w:r>
      <w:r w:rsidR="0053051C">
        <w:rPr>
          <w:sz w:val="28"/>
          <w:szCs w:val="28"/>
        </w:rPr>
        <w:t xml:space="preserve">. Theo đó tại địa phương, Sở Giáo dục và Đào tạo sẽ thực hiện một số nội dung của Dự án 8, gồm: </w:t>
      </w:r>
      <w:r w:rsidR="0053051C" w:rsidRPr="0053051C">
        <w:rPr>
          <w:sz w:val="28"/>
          <w:szCs w:val="28"/>
        </w:rPr>
        <w:t xml:space="preserve">Tập huấn nâng cao năng lực hoạt động </w:t>
      </w:r>
      <w:r w:rsidR="0053051C">
        <w:rPr>
          <w:sz w:val="28"/>
          <w:szCs w:val="28"/>
        </w:rPr>
        <w:t>câu lạc bộ</w:t>
      </w:r>
      <w:r w:rsidR="0053051C" w:rsidRPr="0053051C">
        <w:rPr>
          <w:sz w:val="28"/>
          <w:szCs w:val="28"/>
        </w:rPr>
        <w:t xml:space="preserve"> thủ lĩnh của sự thay đổi</w:t>
      </w:r>
      <w:r w:rsidR="0053051C">
        <w:rPr>
          <w:sz w:val="28"/>
          <w:szCs w:val="28"/>
        </w:rPr>
        <w:t xml:space="preserve">; </w:t>
      </w:r>
      <w:r w:rsidR="0053051C" w:rsidRPr="0053051C">
        <w:rPr>
          <w:sz w:val="28"/>
          <w:szCs w:val="28"/>
        </w:rPr>
        <w:t>Tập huấn lồng ghép giới, nâng cao năng lực thực hiện bình đẳng giới cho cán bộ quản lý và giáo viên địa bàn Dự án 8</w:t>
      </w:r>
      <w:r w:rsidR="0053051C">
        <w:rPr>
          <w:sz w:val="28"/>
          <w:szCs w:val="28"/>
        </w:rPr>
        <w:t xml:space="preserve">; Sở Văn hóa, Thể thao và Du lịch sẽ thực hiện nội dung </w:t>
      </w:r>
      <w:r w:rsidR="0053051C" w:rsidRPr="0053051C">
        <w:rPr>
          <w:sz w:val="28"/>
          <w:szCs w:val="28"/>
        </w:rPr>
        <w:t xml:space="preserve">Tổ chức </w:t>
      </w:r>
      <w:r w:rsidR="0053051C">
        <w:rPr>
          <w:sz w:val="28"/>
          <w:szCs w:val="28"/>
        </w:rPr>
        <w:t xml:space="preserve">các </w:t>
      </w:r>
      <w:r w:rsidR="0053051C" w:rsidRPr="0053051C">
        <w:rPr>
          <w:sz w:val="28"/>
          <w:szCs w:val="28"/>
        </w:rPr>
        <w:t>hoạt động Ngày gia đình Việt Nam</w:t>
      </w:r>
      <w:r w:rsidR="0053051C">
        <w:rPr>
          <w:sz w:val="28"/>
          <w:szCs w:val="28"/>
        </w:rPr>
        <w:t xml:space="preserve"> thuộc Dự án 8.</w:t>
      </w:r>
    </w:p>
    <w:p w14:paraId="3B413854" w14:textId="25B3FE18" w:rsidR="00062ADA" w:rsidRDefault="0053051C" w:rsidP="00011AEC">
      <w:pPr>
        <w:spacing w:before="120" w:line="360" w:lineRule="exact"/>
        <w:ind w:firstLine="709"/>
        <w:jc w:val="both"/>
        <w:rPr>
          <w:sz w:val="28"/>
          <w:szCs w:val="28"/>
        </w:rPr>
      </w:pPr>
      <w:r>
        <w:rPr>
          <w:sz w:val="28"/>
          <w:szCs w:val="28"/>
        </w:rPr>
        <w:t>Như vậy</w:t>
      </w:r>
      <w:r w:rsidR="00062ADA">
        <w:rPr>
          <w:sz w:val="28"/>
          <w:szCs w:val="28"/>
        </w:rPr>
        <w:t xml:space="preserve">, cần thiết phải sửa đổi, bổ sung định mức phân bổ vốn sự nghiệp của Dự án 8 cho phù hợp. </w:t>
      </w:r>
      <w:r w:rsidR="00062ADA" w:rsidRPr="00062ADA">
        <w:rPr>
          <w:sz w:val="28"/>
          <w:szCs w:val="28"/>
        </w:rPr>
        <w:t>Mức phân bổ cụ thể cho từng đơn vị sẽ theo nhu cầu thực tế và tổng vốn phân bổ cho các đơn vị cấp tỉnh không vượt quá tỷ lệ phân bổ tối đa quy định tại dự thảo Nghị quyết.</w:t>
      </w:r>
    </w:p>
    <w:p w14:paraId="54D894E8" w14:textId="4497F171" w:rsidR="00767231" w:rsidRPr="00767231" w:rsidRDefault="003D3F72" w:rsidP="00E86D6F">
      <w:pPr>
        <w:spacing w:before="100" w:line="360" w:lineRule="exact"/>
        <w:ind w:firstLine="720"/>
        <w:jc w:val="both"/>
        <w:rPr>
          <w:sz w:val="28"/>
          <w:szCs w:val="28"/>
          <w:highlight w:val="white"/>
        </w:rPr>
      </w:pPr>
      <w:r>
        <w:rPr>
          <w:sz w:val="28"/>
          <w:szCs w:val="28"/>
        </w:rPr>
        <w:t>4</w:t>
      </w:r>
      <w:r w:rsidR="00182BD0">
        <w:rPr>
          <w:sz w:val="28"/>
          <w:szCs w:val="28"/>
        </w:rPr>
        <w:t>. Các nội dung</w:t>
      </w:r>
      <w:r w:rsidR="00423433">
        <w:rPr>
          <w:sz w:val="28"/>
          <w:szCs w:val="28"/>
        </w:rPr>
        <w:t>:</w:t>
      </w:r>
      <w:r w:rsidR="00182BD0">
        <w:rPr>
          <w:sz w:val="28"/>
          <w:szCs w:val="28"/>
        </w:rPr>
        <w:t xml:space="preserve"> </w:t>
      </w:r>
      <w:r w:rsidR="00011AEC">
        <w:rPr>
          <w:sz w:val="28"/>
          <w:szCs w:val="28"/>
        </w:rPr>
        <w:t xml:space="preserve">(1) </w:t>
      </w:r>
      <w:r w:rsidR="00182BD0" w:rsidRPr="00FD23EB">
        <w:rPr>
          <w:sz w:val="28"/>
          <w:szCs w:val="28"/>
          <w:lang w:val="nl-NL"/>
        </w:rPr>
        <w:t>Giảm thiểu tình trạng tảo hôn và hôn nhân cận huyết thống trong vùng đồng bào dân tộc thiểu số và miền núi</w:t>
      </w:r>
      <w:r w:rsidR="00182BD0">
        <w:rPr>
          <w:sz w:val="28"/>
          <w:szCs w:val="28"/>
          <w:lang w:val="nl-NL"/>
        </w:rPr>
        <w:t xml:space="preserve"> (Tiểu dự án 2 Dự án 9) (</w:t>
      </w:r>
      <w:r w:rsidR="00554092" w:rsidRPr="00A17E28">
        <w:rPr>
          <w:sz w:val="28"/>
          <w:szCs w:val="28"/>
        </w:rPr>
        <w:t xml:space="preserve">khoản </w:t>
      </w:r>
      <w:r w:rsidR="00423433">
        <w:rPr>
          <w:sz w:val="28"/>
          <w:szCs w:val="28"/>
        </w:rPr>
        <w:t>3</w:t>
      </w:r>
      <w:r w:rsidR="00554092" w:rsidRPr="00A17E28">
        <w:rPr>
          <w:sz w:val="28"/>
          <w:szCs w:val="28"/>
        </w:rPr>
        <w:t xml:space="preserve"> Điều 1 dự thảo Nghị quyết</w:t>
      </w:r>
      <w:r w:rsidR="00182BD0">
        <w:rPr>
          <w:sz w:val="28"/>
          <w:szCs w:val="28"/>
          <w:lang w:val="nl-NL"/>
        </w:rPr>
        <w:t>);</w:t>
      </w:r>
      <w:r w:rsidR="00011AEC">
        <w:rPr>
          <w:sz w:val="28"/>
          <w:szCs w:val="28"/>
          <w:lang w:val="nl-NL"/>
        </w:rPr>
        <w:t xml:space="preserve"> (2)</w:t>
      </w:r>
      <w:r w:rsidR="00182BD0">
        <w:rPr>
          <w:sz w:val="28"/>
          <w:szCs w:val="28"/>
          <w:lang w:val="nl-NL"/>
        </w:rPr>
        <w:t xml:space="preserve"> </w:t>
      </w:r>
      <w:r w:rsidR="00182BD0" w:rsidRPr="00FD23EB">
        <w:rPr>
          <w:rStyle w:val="BodyText1"/>
          <w:spacing w:val="-3"/>
          <w:sz w:val="28"/>
          <w:szCs w:val="28"/>
          <w:lang w:val="nl-NL"/>
        </w:rPr>
        <w:t xml:space="preserve">Biểu dương, tôn vinh điển hình tiên </w:t>
      </w:r>
      <w:r w:rsidR="00182BD0" w:rsidRPr="00FD23EB">
        <w:rPr>
          <w:rStyle w:val="BodyText1"/>
          <w:spacing w:val="-3"/>
          <w:sz w:val="28"/>
          <w:szCs w:val="28"/>
          <w:lang w:val="nl-NL"/>
        </w:rPr>
        <w:lastRenderedPageBreak/>
        <w:t>tiến, phát huy vai trò của người có uy tín; phổ biến, giáo dục pháp luật, trợ giúp pháp lý và tuyên truyền, vận động đồng bào; truyền thông phục vụ tổ chức triển khai thực hiện Đề án tổng thể và Chương trình mục tiêu quốc gia phát triển kinh tế - xã hội vùng đồng bào dân tộc thiểu số và miền núi giai đoạn 2021-2030</w:t>
      </w:r>
      <w:r w:rsidR="00182BD0">
        <w:rPr>
          <w:rStyle w:val="BodyText1"/>
          <w:spacing w:val="-3"/>
          <w:sz w:val="28"/>
          <w:szCs w:val="28"/>
          <w:lang w:val="nl-NL"/>
        </w:rPr>
        <w:t xml:space="preserve"> (Tiểu dự án 1, Dự án  10)</w:t>
      </w:r>
      <w:r w:rsidR="00554092">
        <w:rPr>
          <w:rStyle w:val="BodyText1"/>
          <w:spacing w:val="-3"/>
          <w:sz w:val="28"/>
          <w:szCs w:val="28"/>
          <w:lang w:val="nl-NL"/>
        </w:rPr>
        <w:t xml:space="preserve"> </w:t>
      </w:r>
      <w:r w:rsidR="00554092">
        <w:rPr>
          <w:sz w:val="28"/>
          <w:szCs w:val="28"/>
          <w:lang w:val="nl-NL"/>
        </w:rPr>
        <w:t xml:space="preserve">(điểm a </w:t>
      </w:r>
      <w:r w:rsidR="00554092" w:rsidRPr="00A17E28">
        <w:rPr>
          <w:sz w:val="28"/>
          <w:szCs w:val="28"/>
        </w:rPr>
        <w:t xml:space="preserve">khoản </w:t>
      </w:r>
      <w:r w:rsidR="00423433">
        <w:rPr>
          <w:sz w:val="28"/>
          <w:szCs w:val="28"/>
        </w:rPr>
        <w:t>4</w:t>
      </w:r>
      <w:r w:rsidR="00554092" w:rsidRPr="00A17E28">
        <w:rPr>
          <w:sz w:val="28"/>
          <w:szCs w:val="28"/>
        </w:rPr>
        <w:t xml:space="preserve"> Điều 1 dự thảo Nghị quyết</w:t>
      </w:r>
      <w:r w:rsidR="00554092">
        <w:rPr>
          <w:sz w:val="28"/>
          <w:szCs w:val="28"/>
          <w:lang w:val="nl-NL"/>
        </w:rPr>
        <w:t>)</w:t>
      </w:r>
      <w:r w:rsidR="00182BD0">
        <w:rPr>
          <w:rStyle w:val="BodyText1"/>
          <w:spacing w:val="-3"/>
          <w:sz w:val="28"/>
          <w:szCs w:val="28"/>
          <w:lang w:val="nl-NL"/>
        </w:rPr>
        <w:t>;</w:t>
      </w:r>
      <w:r w:rsidR="00767231" w:rsidRPr="00767231">
        <w:rPr>
          <w:sz w:val="28"/>
          <w:szCs w:val="28"/>
          <w:lang w:val="nl-NL"/>
        </w:rPr>
        <w:t xml:space="preserve"> </w:t>
      </w:r>
      <w:r w:rsidR="00011AEC">
        <w:rPr>
          <w:sz w:val="28"/>
          <w:szCs w:val="28"/>
          <w:lang w:val="nl-NL"/>
        </w:rPr>
        <w:t xml:space="preserve">(3) </w:t>
      </w:r>
      <w:r w:rsidR="00767231" w:rsidRPr="00FD23EB">
        <w:rPr>
          <w:sz w:val="28"/>
          <w:szCs w:val="28"/>
          <w:lang w:val="nl-NL"/>
        </w:rPr>
        <w:t>Ứng dụng công nghệ thông tin hỗ trợ phát triển kinh tế - xã hội và đảm bảo an ninh trật tự vùng đồng b</w:t>
      </w:r>
      <w:r w:rsidR="00767231">
        <w:rPr>
          <w:sz w:val="28"/>
          <w:szCs w:val="28"/>
          <w:lang w:val="nl-NL"/>
        </w:rPr>
        <w:t>ào dân tộc thiểu số và miền núi (Tiểu dự án 2, Dự án 10) (</w:t>
      </w:r>
      <w:r w:rsidR="00011AEC">
        <w:rPr>
          <w:sz w:val="28"/>
          <w:szCs w:val="28"/>
          <w:lang w:val="nl-NL"/>
        </w:rPr>
        <w:t xml:space="preserve">điểm b </w:t>
      </w:r>
      <w:r w:rsidR="00011AEC" w:rsidRPr="00A17E28">
        <w:rPr>
          <w:sz w:val="28"/>
          <w:szCs w:val="28"/>
        </w:rPr>
        <w:t xml:space="preserve">khoản </w:t>
      </w:r>
      <w:r w:rsidR="00423433">
        <w:rPr>
          <w:sz w:val="28"/>
          <w:szCs w:val="28"/>
        </w:rPr>
        <w:t>4</w:t>
      </w:r>
      <w:r w:rsidR="00011AEC" w:rsidRPr="00A17E28">
        <w:rPr>
          <w:sz w:val="28"/>
          <w:szCs w:val="28"/>
        </w:rPr>
        <w:t xml:space="preserve"> Điều 1 dự thảo Nghị quyết</w:t>
      </w:r>
      <w:r w:rsidR="00767231">
        <w:rPr>
          <w:sz w:val="28"/>
          <w:szCs w:val="28"/>
          <w:lang w:val="nl-NL"/>
        </w:rPr>
        <w:t xml:space="preserve">); </w:t>
      </w:r>
      <w:r w:rsidR="00011AEC">
        <w:rPr>
          <w:sz w:val="28"/>
          <w:szCs w:val="28"/>
          <w:lang w:val="nl-NL"/>
        </w:rPr>
        <w:t xml:space="preserve">(4) </w:t>
      </w:r>
      <w:r w:rsidR="00767231" w:rsidRPr="00FD23EB">
        <w:rPr>
          <w:sz w:val="28"/>
          <w:szCs w:val="28"/>
          <w:lang w:val="nl-NL"/>
        </w:rPr>
        <w:t>Kiểm tra, giám sát, đánh giá, đào tạo, tập huấn tổ chức thực hiện Chương trình</w:t>
      </w:r>
      <w:r w:rsidR="00767231">
        <w:rPr>
          <w:sz w:val="28"/>
          <w:szCs w:val="28"/>
          <w:lang w:val="nl-NL"/>
        </w:rPr>
        <w:t xml:space="preserve"> (Tiểu dự án 3, Dự án 10) (</w:t>
      </w:r>
      <w:r w:rsidR="00011AEC">
        <w:rPr>
          <w:sz w:val="28"/>
          <w:szCs w:val="28"/>
          <w:lang w:val="nl-NL"/>
        </w:rPr>
        <w:t xml:space="preserve">điểm c </w:t>
      </w:r>
      <w:r w:rsidR="00011AEC" w:rsidRPr="00A17E28">
        <w:rPr>
          <w:sz w:val="28"/>
          <w:szCs w:val="28"/>
        </w:rPr>
        <w:t xml:space="preserve">khoản </w:t>
      </w:r>
      <w:r w:rsidR="00E86D6F">
        <w:rPr>
          <w:sz w:val="28"/>
          <w:szCs w:val="28"/>
        </w:rPr>
        <w:t>4</w:t>
      </w:r>
      <w:r w:rsidR="00011AEC" w:rsidRPr="00A17E28">
        <w:rPr>
          <w:sz w:val="28"/>
          <w:szCs w:val="28"/>
        </w:rPr>
        <w:t xml:space="preserve"> Điều 1 dự thảo Nghị quyết</w:t>
      </w:r>
      <w:r w:rsidR="00767231">
        <w:rPr>
          <w:sz w:val="28"/>
          <w:szCs w:val="28"/>
          <w:lang w:val="nl-NL"/>
        </w:rPr>
        <w:t xml:space="preserve">): </w:t>
      </w:r>
      <w:r w:rsidR="00767231" w:rsidRPr="00767231">
        <w:rPr>
          <w:sz w:val="28"/>
          <w:szCs w:val="28"/>
          <w:lang w:val="nl-NL"/>
        </w:rPr>
        <w:t xml:space="preserve">Định mức phân bổ hiện tại đang phân bổ ấn định tỷ lệ tối đa cho từng đơn vị cụ thể; </w:t>
      </w:r>
      <w:r w:rsidR="00767231" w:rsidRPr="00767231">
        <w:rPr>
          <w:sz w:val="28"/>
          <w:szCs w:val="28"/>
          <w:highlight w:val="white"/>
        </w:rPr>
        <w:t xml:space="preserve">quá trình thực hiện có đơn vị thừa hoặc thiếu kinh phí nhưng không có cơ sở điều chuyển kinh phí giữa đơn vị thừa với đơn vị thiếu vốn. </w:t>
      </w:r>
      <w:r w:rsidR="00E86D6F">
        <w:rPr>
          <w:sz w:val="28"/>
          <w:szCs w:val="28"/>
        </w:rPr>
        <w:t xml:space="preserve">Do đó, </w:t>
      </w:r>
      <w:r w:rsidR="00E86D6F" w:rsidRPr="00E86D6F">
        <w:rPr>
          <w:sz w:val="28"/>
          <w:szCs w:val="28"/>
        </w:rPr>
        <w:t xml:space="preserve">cần thiết phải sửa đổi, bổ sung định mức phân bổ vốn sự nghiệp của </w:t>
      </w:r>
      <w:r w:rsidR="00E86D6F">
        <w:rPr>
          <w:sz w:val="28"/>
          <w:szCs w:val="28"/>
        </w:rPr>
        <w:t>các dự án thành phần nêu trên</w:t>
      </w:r>
      <w:r w:rsidR="00E86D6F" w:rsidRPr="00E86D6F">
        <w:rPr>
          <w:sz w:val="28"/>
          <w:szCs w:val="28"/>
        </w:rPr>
        <w:t xml:space="preserve"> cho phù hợp. Mức phân bổ cụ thể cho từng đơn vị sẽ theo nhu cầu thực tế và tổng vốn phân bổ cho các đơn vị cấp tỉnh không vượt quá tỷ lệ phân bổ tối đa quy định tại dự thảo Nghị quyết.</w:t>
      </w:r>
    </w:p>
    <w:p w14:paraId="0844F243" w14:textId="4F415D70" w:rsidR="007D54BF" w:rsidRPr="007D54BF" w:rsidRDefault="007D54BF" w:rsidP="007D54BF">
      <w:pPr>
        <w:spacing w:before="120" w:line="340" w:lineRule="atLeast"/>
        <w:ind w:firstLine="720"/>
        <w:jc w:val="both"/>
        <w:rPr>
          <w:sz w:val="28"/>
          <w:szCs w:val="28"/>
        </w:rPr>
      </w:pPr>
      <w:r w:rsidRPr="007D54BF">
        <w:rPr>
          <w:sz w:val="28"/>
          <w:szCs w:val="28"/>
        </w:rPr>
        <w:t xml:space="preserve">Đối với Dự án 6 - Bảo tồn, phát huy giá trị văn hóa truyền thống tốt đẹp của các dân tộc thiểu số gắn với phát triển du lịch; Dự án 7 - Chăm sóc sức khỏe nhân dân, nâng cao thể trạng, tầm vóc người dân tộc thiểu số; phòng chống suy dinh dưỡng trẻ em: Sau khi rà soát thì chỉ có Sở Văn hóa, Thể thao và Du lịch, Sở Y tế thực hiện là phù hợp với chức năng, nhiệm vụ của các đơn vị nên tại dự thảo Nghị quyết này không </w:t>
      </w:r>
      <w:r>
        <w:rPr>
          <w:sz w:val="28"/>
          <w:szCs w:val="28"/>
        </w:rPr>
        <w:t xml:space="preserve">đề xuất </w:t>
      </w:r>
      <w:r w:rsidRPr="007D54BF">
        <w:rPr>
          <w:sz w:val="28"/>
          <w:szCs w:val="28"/>
        </w:rPr>
        <w:t>điều chỉnh 02 dự án này.</w:t>
      </w:r>
    </w:p>
    <w:p w14:paraId="45A6FBAE" w14:textId="69429752" w:rsidR="00767231" w:rsidRPr="00767231" w:rsidRDefault="00767231" w:rsidP="00011AEC">
      <w:pPr>
        <w:spacing w:before="100" w:line="360" w:lineRule="exact"/>
        <w:ind w:firstLine="720"/>
        <w:jc w:val="both"/>
        <w:rPr>
          <w:sz w:val="28"/>
          <w:szCs w:val="28"/>
          <w:lang w:val="nl-NL"/>
        </w:rPr>
      </w:pPr>
    </w:p>
    <w:p w14:paraId="1B461622" w14:textId="630CC861" w:rsidR="00182BD0" w:rsidRPr="00182BD0" w:rsidRDefault="00182BD0" w:rsidP="00011AEC">
      <w:pPr>
        <w:spacing w:before="120" w:line="360" w:lineRule="exact"/>
        <w:ind w:firstLine="709"/>
        <w:jc w:val="both"/>
        <w:rPr>
          <w:color w:val="000000"/>
          <w:sz w:val="28"/>
          <w:szCs w:val="28"/>
        </w:rPr>
      </w:pPr>
    </w:p>
    <w:p w14:paraId="08671884" w14:textId="77777777" w:rsidR="000968A7" w:rsidRPr="00CE5B72" w:rsidRDefault="000968A7" w:rsidP="00011AEC">
      <w:pPr>
        <w:spacing w:before="120" w:line="360" w:lineRule="exact"/>
        <w:ind w:firstLine="709"/>
        <w:jc w:val="both"/>
        <w:rPr>
          <w:sz w:val="28"/>
          <w:szCs w:val="28"/>
          <w:highlight w:val="white"/>
        </w:rPr>
      </w:pPr>
    </w:p>
    <w:p w14:paraId="15EF226D" w14:textId="77777777" w:rsidR="00A17E28" w:rsidRDefault="00A17E28" w:rsidP="00011AEC">
      <w:pPr>
        <w:widowControl w:val="0"/>
        <w:spacing w:beforeLines="60" w:before="144" w:afterLines="60" w:after="144" w:line="360" w:lineRule="exact"/>
        <w:ind w:firstLine="709"/>
        <w:jc w:val="both"/>
        <w:rPr>
          <w:sz w:val="28"/>
          <w:szCs w:val="28"/>
        </w:rPr>
      </w:pPr>
    </w:p>
    <w:p w14:paraId="6D7966B1" w14:textId="77777777" w:rsidR="00D11DB1" w:rsidRPr="006F5C17" w:rsidRDefault="00D11DB1" w:rsidP="00011AEC">
      <w:pPr>
        <w:widowControl w:val="0"/>
        <w:spacing w:beforeLines="60" w:before="144" w:afterLines="60" w:after="144" w:line="360" w:lineRule="exact"/>
        <w:ind w:firstLine="709"/>
        <w:jc w:val="both"/>
        <w:rPr>
          <w:sz w:val="28"/>
          <w:szCs w:val="28"/>
        </w:rPr>
      </w:pPr>
    </w:p>
    <w:p w14:paraId="116451D4" w14:textId="77777777" w:rsidR="00057C82" w:rsidRDefault="00057C82" w:rsidP="00011AEC">
      <w:pPr>
        <w:widowControl w:val="0"/>
        <w:spacing w:beforeLines="60" w:before="144" w:afterLines="60" w:after="144" w:line="360" w:lineRule="exact"/>
        <w:ind w:firstLine="709"/>
        <w:jc w:val="both"/>
        <w:rPr>
          <w:b/>
          <w:color w:val="000000" w:themeColor="text1"/>
          <w:sz w:val="28"/>
          <w:szCs w:val="28"/>
          <w:lang w:val="vi-VN"/>
        </w:rPr>
      </w:pPr>
    </w:p>
    <w:p w14:paraId="2ACEE3C5" w14:textId="74F82B4A" w:rsidR="00DA0335" w:rsidRPr="000D70A9" w:rsidRDefault="00DA0335" w:rsidP="00011AEC">
      <w:pPr>
        <w:widowControl w:val="0"/>
        <w:spacing w:beforeLines="60" w:before="144" w:afterLines="60" w:after="144" w:line="360" w:lineRule="exact"/>
        <w:ind w:firstLine="709"/>
        <w:jc w:val="both"/>
        <w:rPr>
          <w:iCs/>
          <w:color w:val="000000" w:themeColor="text1"/>
          <w:sz w:val="28"/>
          <w:szCs w:val="28"/>
          <w:lang w:val="nl-NL"/>
        </w:rPr>
      </w:pPr>
    </w:p>
    <w:sectPr w:rsidR="00DA0335" w:rsidRPr="000D70A9" w:rsidSect="00DE4642">
      <w:headerReference w:type="default" r:id="rId7"/>
      <w:pgSz w:w="11907" w:h="16840" w:code="9"/>
      <w:pgMar w:top="1134" w:right="1134" w:bottom="1021" w:left="1701"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77283" w14:textId="77777777" w:rsidR="00116E86" w:rsidRDefault="00116E86" w:rsidP="0099008D">
      <w:r>
        <w:separator/>
      </w:r>
    </w:p>
  </w:endnote>
  <w:endnote w:type="continuationSeparator" w:id="0">
    <w:p w14:paraId="7B0168E7" w14:textId="77777777" w:rsidR="00116E86" w:rsidRDefault="00116E86" w:rsidP="0099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1744A" w14:textId="77777777" w:rsidR="00116E86" w:rsidRDefault="00116E86" w:rsidP="0099008D">
      <w:r>
        <w:separator/>
      </w:r>
    </w:p>
  </w:footnote>
  <w:footnote w:type="continuationSeparator" w:id="0">
    <w:p w14:paraId="55DA4A39" w14:textId="77777777" w:rsidR="00116E86" w:rsidRDefault="00116E86" w:rsidP="00990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995460"/>
      <w:docPartObj>
        <w:docPartGallery w:val="Page Numbers (Top of Page)"/>
        <w:docPartUnique/>
      </w:docPartObj>
    </w:sdtPr>
    <w:sdtEndPr>
      <w:rPr>
        <w:noProof/>
      </w:rPr>
    </w:sdtEndPr>
    <w:sdtContent>
      <w:p w14:paraId="1DE3C596" w14:textId="3FA3550E" w:rsidR="00062ADA" w:rsidRDefault="00062ADA">
        <w:pPr>
          <w:pStyle w:val="Header"/>
          <w:jc w:val="center"/>
        </w:pPr>
        <w:r>
          <w:fldChar w:fldCharType="begin"/>
        </w:r>
        <w:r>
          <w:instrText xml:space="preserve"> PAGE   \* MERGEFORMAT </w:instrText>
        </w:r>
        <w:r>
          <w:fldChar w:fldCharType="separate"/>
        </w:r>
        <w:r w:rsidR="00CC2FDD">
          <w:rPr>
            <w:noProof/>
          </w:rPr>
          <w:t>2</w:t>
        </w:r>
        <w:r>
          <w:rPr>
            <w:noProof/>
          </w:rPr>
          <w:fldChar w:fldCharType="end"/>
        </w:r>
      </w:p>
    </w:sdtContent>
  </w:sdt>
  <w:p w14:paraId="61790733" w14:textId="77777777" w:rsidR="00062ADA" w:rsidRDefault="00062A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F86"/>
    <w:multiLevelType w:val="hybridMultilevel"/>
    <w:tmpl w:val="88FA423C"/>
    <w:lvl w:ilvl="0" w:tplc="64905F8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F013AF1"/>
    <w:multiLevelType w:val="hybridMultilevel"/>
    <w:tmpl w:val="3B769B98"/>
    <w:lvl w:ilvl="0" w:tplc="C94E6990">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4745BEA"/>
    <w:multiLevelType w:val="hybridMultilevel"/>
    <w:tmpl w:val="C486D41A"/>
    <w:lvl w:ilvl="0" w:tplc="F240382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4D44A13"/>
    <w:multiLevelType w:val="hybridMultilevel"/>
    <w:tmpl w:val="D85031F6"/>
    <w:lvl w:ilvl="0" w:tplc="2174A288">
      <w:start w:val="1"/>
      <w:numFmt w:val="upperRoman"/>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B22E1"/>
    <w:multiLevelType w:val="hybridMultilevel"/>
    <w:tmpl w:val="8B629928"/>
    <w:lvl w:ilvl="0" w:tplc="736A04E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95F7BA6"/>
    <w:multiLevelType w:val="hybridMultilevel"/>
    <w:tmpl w:val="A1A85A3E"/>
    <w:lvl w:ilvl="0" w:tplc="FF18CF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D352B"/>
    <w:multiLevelType w:val="hybridMultilevel"/>
    <w:tmpl w:val="03925856"/>
    <w:lvl w:ilvl="0" w:tplc="F7D07F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CE00226"/>
    <w:multiLevelType w:val="hybridMultilevel"/>
    <w:tmpl w:val="9424B262"/>
    <w:lvl w:ilvl="0" w:tplc="AA16A53C">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27C271D"/>
    <w:multiLevelType w:val="hybridMultilevel"/>
    <w:tmpl w:val="0EBA39D4"/>
    <w:lvl w:ilvl="0" w:tplc="CF0A5804">
      <w:start w:val="1"/>
      <w:numFmt w:val="upperRoman"/>
      <w:lvlText w:val="%1."/>
      <w:lvlJc w:val="left"/>
      <w:pPr>
        <w:ind w:left="1961" w:hanging="111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6AB1C0C"/>
    <w:multiLevelType w:val="hybridMultilevel"/>
    <w:tmpl w:val="F0AEFD42"/>
    <w:lvl w:ilvl="0" w:tplc="3A4E25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614BEB"/>
    <w:multiLevelType w:val="hybridMultilevel"/>
    <w:tmpl w:val="E13AE9E6"/>
    <w:lvl w:ilvl="0" w:tplc="C31EEE5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1EE253F"/>
    <w:multiLevelType w:val="hybridMultilevel"/>
    <w:tmpl w:val="8FBC8C06"/>
    <w:lvl w:ilvl="0" w:tplc="80BAFE0A">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17D8"/>
    <w:multiLevelType w:val="hybridMultilevel"/>
    <w:tmpl w:val="589CE77C"/>
    <w:lvl w:ilvl="0" w:tplc="72A6C7C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9B75D81"/>
    <w:multiLevelType w:val="hybridMultilevel"/>
    <w:tmpl w:val="25C6A4EA"/>
    <w:lvl w:ilvl="0" w:tplc="3D30C08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1F20FBB"/>
    <w:multiLevelType w:val="hybridMultilevel"/>
    <w:tmpl w:val="296431C4"/>
    <w:lvl w:ilvl="0" w:tplc="FA5C3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EF7C00"/>
    <w:multiLevelType w:val="hybridMultilevel"/>
    <w:tmpl w:val="2272DA6A"/>
    <w:lvl w:ilvl="0" w:tplc="64A6CAD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7A71DF4"/>
    <w:multiLevelType w:val="hybridMultilevel"/>
    <w:tmpl w:val="C6DC8BFE"/>
    <w:lvl w:ilvl="0" w:tplc="037A9D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772339"/>
    <w:multiLevelType w:val="hybridMultilevel"/>
    <w:tmpl w:val="F4BA19AA"/>
    <w:lvl w:ilvl="0" w:tplc="13A631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367695"/>
    <w:multiLevelType w:val="hybridMultilevel"/>
    <w:tmpl w:val="F0ACB3E0"/>
    <w:lvl w:ilvl="0" w:tplc="91944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F609F7"/>
    <w:multiLevelType w:val="hybridMultilevel"/>
    <w:tmpl w:val="FF96CE06"/>
    <w:lvl w:ilvl="0" w:tplc="234C6D4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54BE394F"/>
    <w:multiLevelType w:val="hybridMultilevel"/>
    <w:tmpl w:val="F7C4D5EE"/>
    <w:lvl w:ilvl="0" w:tplc="C7C6A9F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63895DE4"/>
    <w:multiLevelType w:val="hybridMultilevel"/>
    <w:tmpl w:val="07A0EEFC"/>
    <w:lvl w:ilvl="0" w:tplc="9E5227BE">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3B7301"/>
    <w:multiLevelType w:val="hybridMultilevel"/>
    <w:tmpl w:val="64F68B64"/>
    <w:lvl w:ilvl="0" w:tplc="1166FCEA">
      <w:start w:val="1"/>
      <w:numFmt w:val="upperRoman"/>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100D2B"/>
    <w:multiLevelType w:val="hybridMultilevel"/>
    <w:tmpl w:val="8EDCFDDE"/>
    <w:lvl w:ilvl="0" w:tplc="1C72872E">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7B9E2985"/>
    <w:multiLevelType w:val="hybridMultilevel"/>
    <w:tmpl w:val="82A434B8"/>
    <w:lvl w:ilvl="0" w:tplc="3DDEBA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EB0089B"/>
    <w:multiLevelType w:val="hybridMultilevel"/>
    <w:tmpl w:val="E5AA7070"/>
    <w:lvl w:ilvl="0" w:tplc="9A8A346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9"/>
  </w:num>
  <w:num w:numId="2">
    <w:abstractNumId w:val="23"/>
  </w:num>
  <w:num w:numId="3">
    <w:abstractNumId w:val="6"/>
  </w:num>
  <w:num w:numId="4">
    <w:abstractNumId w:val="8"/>
  </w:num>
  <w:num w:numId="5">
    <w:abstractNumId w:val="17"/>
  </w:num>
  <w:num w:numId="6">
    <w:abstractNumId w:val="9"/>
  </w:num>
  <w:num w:numId="7">
    <w:abstractNumId w:val="20"/>
  </w:num>
  <w:num w:numId="8">
    <w:abstractNumId w:val="2"/>
  </w:num>
  <w:num w:numId="9">
    <w:abstractNumId w:val="16"/>
  </w:num>
  <w:num w:numId="10">
    <w:abstractNumId w:val="5"/>
  </w:num>
  <w:num w:numId="11">
    <w:abstractNumId w:val="3"/>
  </w:num>
  <w:num w:numId="12">
    <w:abstractNumId w:val="11"/>
  </w:num>
  <w:num w:numId="13">
    <w:abstractNumId w:val="18"/>
  </w:num>
  <w:num w:numId="14">
    <w:abstractNumId w:val="22"/>
  </w:num>
  <w:num w:numId="15">
    <w:abstractNumId w:val="7"/>
  </w:num>
  <w:num w:numId="16">
    <w:abstractNumId w:val="14"/>
  </w:num>
  <w:num w:numId="17">
    <w:abstractNumId w:val="21"/>
  </w:num>
  <w:num w:numId="18">
    <w:abstractNumId w:val="0"/>
  </w:num>
  <w:num w:numId="19">
    <w:abstractNumId w:val="25"/>
  </w:num>
  <w:num w:numId="20">
    <w:abstractNumId w:val="1"/>
  </w:num>
  <w:num w:numId="21">
    <w:abstractNumId w:val="13"/>
  </w:num>
  <w:num w:numId="22">
    <w:abstractNumId w:val="4"/>
  </w:num>
  <w:num w:numId="23">
    <w:abstractNumId w:val="12"/>
  </w:num>
  <w:num w:numId="24">
    <w:abstractNumId w:val="24"/>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BA"/>
    <w:rsid w:val="000037C8"/>
    <w:rsid w:val="00004ED2"/>
    <w:rsid w:val="00005D01"/>
    <w:rsid w:val="00006248"/>
    <w:rsid w:val="000073AB"/>
    <w:rsid w:val="00007F97"/>
    <w:rsid w:val="00010079"/>
    <w:rsid w:val="00011AEC"/>
    <w:rsid w:val="00016480"/>
    <w:rsid w:val="00024E97"/>
    <w:rsid w:val="00025B6D"/>
    <w:rsid w:val="0002681B"/>
    <w:rsid w:val="00026988"/>
    <w:rsid w:val="000310DF"/>
    <w:rsid w:val="000322E3"/>
    <w:rsid w:val="00034334"/>
    <w:rsid w:val="00037B8C"/>
    <w:rsid w:val="000402BF"/>
    <w:rsid w:val="00041250"/>
    <w:rsid w:val="00043273"/>
    <w:rsid w:val="00044A4F"/>
    <w:rsid w:val="0004615F"/>
    <w:rsid w:val="00055EBA"/>
    <w:rsid w:val="00057580"/>
    <w:rsid w:val="00057C82"/>
    <w:rsid w:val="00061D35"/>
    <w:rsid w:val="00062ADA"/>
    <w:rsid w:val="000715E1"/>
    <w:rsid w:val="000736D6"/>
    <w:rsid w:val="00073A38"/>
    <w:rsid w:val="00087D3B"/>
    <w:rsid w:val="0009543B"/>
    <w:rsid w:val="000968A7"/>
    <w:rsid w:val="000A1DC2"/>
    <w:rsid w:val="000A2930"/>
    <w:rsid w:val="000A5379"/>
    <w:rsid w:val="000B05AD"/>
    <w:rsid w:val="000B0E4D"/>
    <w:rsid w:val="000B0F69"/>
    <w:rsid w:val="000C1D23"/>
    <w:rsid w:val="000C34CE"/>
    <w:rsid w:val="000C3D3D"/>
    <w:rsid w:val="000C49B4"/>
    <w:rsid w:val="000C4AB5"/>
    <w:rsid w:val="000D17DA"/>
    <w:rsid w:val="000D70A9"/>
    <w:rsid w:val="000E1C93"/>
    <w:rsid w:val="000E72EC"/>
    <w:rsid w:val="00100164"/>
    <w:rsid w:val="001011BC"/>
    <w:rsid w:val="001065E8"/>
    <w:rsid w:val="001109D8"/>
    <w:rsid w:val="001149B4"/>
    <w:rsid w:val="00115834"/>
    <w:rsid w:val="00116E86"/>
    <w:rsid w:val="00117994"/>
    <w:rsid w:val="00117CC5"/>
    <w:rsid w:val="00121804"/>
    <w:rsid w:val="00132A5C"/>
    <w:rsid w:val="001407F5"/>
    <w:rsid w:val="0014648D"/>
    <w:rsid w:val="00152561"/>
    <w:rsid w:val="00152F93"/>
    <w:rsid w:val="00154D4F"/>
    <w:rsid w:val="00156871"/>
    <w:rsid w:val="00156FBA"/>
    <w:rsid w:val="00160AC0"/>
    <w:rsid w:val="00170B1E"/>
    <w:rsid w:val="001728BD"/>
    <w:rsid w:val="0017728D"/>
    <w:rsid w:val="00181317"/>
    <w:rsid w:val="00182BD0"/>
    <w:rsid w:val="00192713"/>
    <w:rsid w:val="0019670E"/>
    <w:rsid w:val="00197393"/>
    <w:rsid w:val="00197A51"/>
    <w:rsid w:val="001A734F"/>
    <w:rsid w:val="001B2DF4"/>
    <w:rsid w:val="001B51E5"/>
    <w:rsid w:val="001D3268"/>
    <w:rsid w:val="001D42AE"/>
    <w:rsid w:val="001D7AEF"/>
    <w:rsid w:val="001E31FF"/>
    <w:rsid w:val="001E401B"/>
    <w:rsid w:val="001E58DF"/>
    <w:rsid w:val="001E6614"/>
    <w:rsid w:val="001E7E64"/>
    <w:rsid w:val="001F4419"/>
    <w:rsid w:val="001F5842"/>
    <w:rsid w:val="001F7C24"/>
    <w:rsid w:val="002026DE"/>
    <w:rsid w:val="00205CD9"/>
    <w:rsid w:val="00212C81"/>
    <w:rsid w:val="002131DA"/>
    <w:rsid w:val="00214EFE"/>
    <w:rsid w:val="0022054D"/>
    <w:rsid w:val="00224C40"/>
    <w:rsid w:val="00233DC5"/>
    <w:rsid w:val="00237565"/>
    <w:rsid w:val="00237CBB"/>
    <w:rsid w:val="0024066F"/>
    <w:rsid w:val="00240695"/>
    <w:rsid w:val="002467DF"/>
    <w:rsid w:val="00251956"/>
    <w:rsid w:val="00251E8C"/>
    <w:rsid w:val="002551CD"/>
    <w:rsid w:val="002657EC"/>
    <w:rsid w:val="0027195B"/>
    <w:rsid w:val="002731DE"/>
    <w:rsid w:val="00273466"/>
    <w:rsid w:val="0027570D"/>
    <w:rsid w:val="00276864"/>
    <w:rsid w:val="00276C5F"/>
    <w:rsid w:val="00277C05"/>
    <w:rsid w:val="00283B60"/>
    <w:rsid w:val="0028711A"/>
    <w:rsid w:val="00293AB1"/>
    <w:rsid w:val="00295CC6"/>
    <w:rsid w:val="002970B8"/>
    <w:rsid w:val="002A3E31"/>
    <w:rsid w:val="002B2A6F"/>
    <w:rsid w:val="002B44DA"/>
    <w:rsid w:val="002B5C35"/>
    <w:rsid w:val="002C2580"/>
    <w:rsid w:val="002C2630"/>
    <w:rsid w:val="002D181F"/>
    <w:rsid w:val="002D5D8B"/>
    <w:rsid w:val="002E220A"/>
    <w:rsid w:val="002E7A7E"/>
    <w:rsid w:val="002F3A52"/>
    <w:rsid w:val="002F442F"/>
    <w:rsid w:val="002F5A70"/>
    <w:rsid w:val="00311F38"/>
    <w:rsid w:val="00312A68"/>
    <w:rsid w:val="003132B5"/>
    <w:rsid w:val="00313BB7"/>
    <w:rsid w:val="00313E9F"/>
    <w:rsid w:val="0032347C"/>
    <w:rsid w:val="0033178B"/>
    <w:rsid w:val="00336CF7"/>
    <w:rsid w:val="00340ED3"/>
    <w:rsid w:val="003433EF"/>
    <w:rsid w:val="0034688E"/>
    <w:rsid w:val="00347A65"/>
    <w:rsid w:val="00352F88"/>
    <w:rsid w:val="00363AB5"/>
    <w:rsid w:val="0036525B"/>
    <w:rsid w:val="00367AB4"/>
    <w:rsid w:val="00371009"/>
    <w:rsid w:val="0039011A"/>
    <w:rsid w:val="003909C8"/>
    <w:rsid w:val="00394F46"/>
    <w:rsid w:val="003955E9"/>
    <w:rsid w:val="003973BD"/>
    <w:rsid w:val="003A2097"/>
    <w:rsid w:val="003A36A7"/>
    <w:rsid w:val="003A5FBB"/>
    <w:rsid w:val="003A6EB5"/>
    <w:rsid w:val="003B0EC0"/>
    <w:rsid w:val="003B1C2D"/>
    <w:rsid w:val="003B3439"/>
    <w:rsid w:val="003B4EC6"/>
    <w:rsid w:val="003B59DC"/>
    <w:rsid w:val="003B675C"/>
    <w:rsid w:val="003B7E1F"/>
    <w:rsid w:val="003C78A4"/>
    <w:rsid w:val="003D0355"/>
    <w:rsid w:val="003D3F72"/>
    <w:rsid w:val="003D6B85"/>
    <w:rsid w:val="003E4E8D"/>
    <w:rsid w:val="003E53BD"/>
    <w:rsid w:val="003F15BD"/>
    <w:rsid w:val="004001F0"/>
    <w:rsid w:val="00412B70"/>
    <w:rsid w:val="00415230"/>
    <w:rsid w:val="00417784"/>
    <w:rsid w:val="00423433"/>
    <w:rsid w:val="0042629F"/>
    <w:rsid w:val="0043745F"/>
    <w:rsid w:val="00437A47"/>
    <w:rsid w:val="0044408B"/>
    <w:rsid w:val="0045195E"/>
    <w:rsid w:val="00452B69"/>
    <w:rsid w:val="00456B2D"/>
    <w:rsid w:val="00460C97"/>
    <w:rsid w:val="00471544"/>
    <w:rsid w:val="00483750"/>
    <w:rsid w:val="004873DD"/>
    <w:rsid w:val="00491FE7"/>
    <w:rsid w:val="004954CD"/>
    <w:rsid w:val="004A1182"/>
    <w:rsid w:val="004A3903"/>
    <w:rsid w:val="004B61B6"/>
    <w:rsid w:val="004C5BF5"/>
    <w:rsid w:val="004D44EA"/>
    <w:rsid w:val="004D4A0F"/>
    <w:rsid w:val="004D74CF"/>
    <w:rsid w:val="004F1230"/>
    <w:rsid w:val="004F32C6"/>
    <w:rsid w:val="004F5296"/>
    <w:rsid w:val="00503C4F"/>
    <w:rsid w:val="00504EA3"/>
    <w:rsid w:val="0052048A"/>
    <w:rsid w:val="00521835"/>
    <w:rsid w:val="00523C6A"/>
    <w:rsid w:val="00525141"/>
    <w:rsid w:val="0052643C"/>
    <w:rsid w:val="0053017C"/>
    <w:rsid w:val="0053051C"/>
    <w:rsid w:val="00532144"/>
    <w:rsid w:val="00535AE9"/>
    <w:rsid w:val="005411D3"/>
    <w:rsid w:val="00541228"/>
    <w:rsid w:val="00544C22"/>
    <w:rsid w:val="00544C94"/>
    <w:rsid w:val="005504F4"/>
    <w:rsid w:val="00553237"/>
    <w:rsid w:val="00554092"/>
    <w:rsid w:val="005627EB"/>
    <w:rsid w:val="00566198"/>
    <w:rsid w:val="0056745D"/>
    <w:rsid w:val="00583FA3"/>
    <w:rsid w:val="00584632"/>
    <w:rsid w:val="0058527E"/>
    <w:rsid w:val="00586933"/>
    <w:rsid w:val="00587186"/>
    <w:rsid w:val="005877ED"/>
    <w:rsid w:val="00596B6E"/>
    <w:rsid w:val="005971FD"/>
    <w:rsid w:val="005A0401"/>
    <w:rsid w:val="005A764E"/>
    <w:rsid w:val="005B1812"/>
    <w:rsid w:val="005B5ECA"/>
    <w:rsid w:val="005B6F18"/>
    <w:rsid w:val="005B70D5"/>
    <w:rsid w:val="005B71EC"/>
    <w:rsid w:val="005C3D19"/>
    <w:rsid w:val="005C41D0"/>
    <w:rsid w:val="005C4765"/>
    <w:rsid w:val="005C6F02"/>
    <w:rsid w:val="005D090C"/>
    <w:rsid w:val="005D0D65"/>
    <w:rsid w:val="005D7CA7"/>
    <w:rsid w:val="005E0AE5"/>
    <w:rsid w:val="005E1010"/>
    <w:rsid w:val="005E7358"/>
    <w:rsid w:val="005F2958"/>
    <w:rsid w:val="005F31BE"/>
    <w:rsid w:val="005F4C13"/>
    <w:rsid w:val="00604D04"/>
    <w:rsid w:val="00604EDE"/>
    <w:rsid w:val="00611E1C"/>
    <w:rsid w:val="00613A47"/>
    <w:rsid w:val="006147A4"/>
    <w:rsid w:val="00624727"/>
    <w:rsid w:val="00634833"/>
    <w:rsid w:val="0064329B"/>
    <w:rsid w:val="006437AD"/>
    <w:rsid w:val="00646DA3"/>
    <w:rsid w:val="006479DF"/>
    <w:rsid w:val="00653155"/>
    <w:rsid w:val="00653184"/>
    <w:rsid w:val="006611C9"/>
    <w:rsid w:val="006636B0"/>
    <w:rsid w:val="00670D8B"/>
    <w:rsid w:val="006714D9"/>
    <w:rsid w:val="00673C93"/>
    <w:rsid w:val="00674FB6"/>
    <w:rsid w:val="006758D5"/>
    <w:rsid w:val="00677126"/>
    <w:rsid w:val="00690BDF"/>
    <w:rsid w:val="0069172B"/>
    <w:rsid w:val="00693695"/>
    <w:rsid w:val="006A2D82"/>
    <w:rsid w:val="006A59D0"/>
    <w:rsid w:val="006A6D95"/>
    <w:rsid w:val="006B1872"/>
    <w:rsid w:val="006B420D"/>
    <w:rsid w:val="006C23CB"/>
    <w:rsid w:val="006C37BD"/>
    <w:rsid w:val="006C690C"/>
    <w:rsid w:val="006E0AE3"/>
    <w:rsid w:val="006E1389"/>
    <w:rsid w:val="006E5661"/>
    <w:rsid w:val="006E5C40"/>
    <w:rsid w:val="006F0D1C"/>
    <w:rsid w:val="006F5C17"/>
    <w:rsid w:val="006F673C"/>
    <w:rsid w:val="006F7635"/>
    <w:rsid w:val="006F7D4A"/>
    <w:rsid w:val="00702B33"/>
    <w:rsid w:val="00705253"/>
    <w:rsid w:val="00706CA1"/>
    <w:rsid w:val="00715421"/>
    <w:rsid w:val="00716BA1"/>
    <w:rsid w:val="00727106"/>
    <w:rsid w:val="00732210"/>
    <w:rsid w:val="00740C9E"/>
    <w:rsid w:val="00741E31"/>
    <w:rsid w:val="00743609"/>
    <w:rsid w:val="00747090"/>
    <w:rsid w:val="007502C8"/>
    <w:rsid w:val="00754DFC"/>
    <w:rsid w:val="00754F16"/>
    <w:rsid w:val="00764156"/>
    <w:rsid w:val="00767231"/>
    <w:rsid w:val="00773965"/>
    <w:rsid w:val="00781170"/>
    <w:rsid w:val="00790C9F"/>
    <w:rsid w:val="00792E13"/>
    <w:rsid w:val="007971C2"/>
    <w:rsid w:val="007A343C"/>
    <w:rsid w:val="007A663E"/>
    <w:rsid w:val="007A6937"/>
    <w:rsid w:val="007A6DE4"/>
    <w:rsid w:val="007C177B"/>
    <w:rsid w:val="007C1D5B"/>
    <w:rsid w:val="007C601A"/>
    <w:rsid w:val="007C69F3"/>
    <w:rsid w:val="007D54BF"/>
    <w:rsid w:val="007D6660"/>
    <w:rsid w:val="007F0634"/>
    <w:rsid w:val="007F29AA"/>
    <w:rsid w:val="007F4188"/>
    <w:rsid w:val="007F48F8"/>
    <w:rsid w:val="0080403E"/>
    <w:rsid w:val="0080414A"/>
    <w:rsid w:val="00804175"/>
    <w:rsid w:val="00805215"/>
    <w:rsid w:val="008059B9"/>
    <w:rsid w:val="00807F88"/>
    <w:rsid w:val="0081054C"/>
    <w:rsid w:val="00827DF8"/>
    <w:rsid w:val="00830614"/>
    <w:rsid w:val="008326D5"/>
    <w:rsid w:val="0083364A"/>
    <w:rsid w:val="0083550A"/>
    <w:rsid w:val="00844FAF"/>
    <w:rsid w:val="00850C3F"/>
    <w:rsid w:val="008538A6"/>
    <w:rsid w:val="00855BA5"/>
    <w:rsid w:val="00856B7A"/>
    <w:rsid w:val="008611A1"/>
    <w:rsid w:val="00874618"/>
    <w:rsid w:val="00874826"/>
    <w:rsid w:val="008824E0"/>
    <w:rsid w:val="008836BE"/>
    <w:rsid w:val="00883D91"/>
    <w:rsid w:val="00890D25"/>
    <w:rsid w:val="00891E79"/>
    <w:rsid w:val="00893A5D"/>
    <w:rsid w:val="008949B0"/>
    <w:rsid w:val="008A1B28"/>
    <w:rsid w:val="008B0275"/>
    <w:rsid w:val="008B3E00"/>
    <w:rsid w:val="008B5771"/>
    <w:rsid w:val="008B5B89"/>
    <w:rsid w:val="008B5C72"/>
    <w:rsid w:val="008C0595"/>
    <w:rsid w:val="008C5268"/>
    <w:rsid w:val="008C78CD"/>
    <w:rsid w:val="008D06C8"/>
    <w:rsid w:val="008D247F"/>
    <w:rsid w:val="008E4B10"/>
    <w:rsid w:val="008E533D"/>
    <w:rsid w:val="008E6848"/>
    <w:rsid w:val="008F68BD"/>
    <w:rsid w:val="00900468"/>
    <w:rsid w:val="00905BFE"/>
    <w:rsid w:val="009060BA"/>
    <w:rsid w:val="009064EF"/>
    <w:rsid w:val="009123A1"/>
    <w:rsid w:val="00913217"/>
    <w:rsid w:val="0091347B"/>
    <w:rsid w:val="0091430E"/>
    <w:rsid w:val="00923546"/>
    <w:rsid w:val="009246AA"/>
    <w:rsid w:val="00926B3F"/>
    <w:rsid w:val="00927F29"/>
    <w:rsid w:val="00930AE1"/>
    <w:rsid w:val="00932102"/>
    <w:rsid w:val="0093523B"/>
    <w:rsid w:val="00937E45"/>
    <w:rsid w:val="00943C72"/>
    <w:rsid w:val="00944FA6"/>
    <w:rsid w:val="009561ED"/>
    <w:rsid w:val="00960AB4"/>
    <w:rsid w:val="009631A9"/>
    <w:rsid w:val="00963D52"/>
    <w:rsid w:val="00972CC1"/>
    <w:rsid w:val="00980A65"/>
    <w:rsid w:val="00980DFE"/>
    <w:rsid w:val="00981941"/>
    <w:rsid w:val="0098267A"/>
    <w:rsid w:val="00982DCF"/>
    <w:rsid w:val="00982E7B"/>
    <w:rsid w:val="00984299"/>
    <w:rsid w:val="0099008D"/>
    <w:rsid w:val="00993AFA"/>
    <w:rsid w:val="009966DD"/>
    <w:rsid w:val="00997047"/>
    <w:rsid w:val="009A370A"/>
    <w:rsid w:val="009B0B67"/>
    <w:rsid w:val="009B5B0C"/>
    <w:rsid w:val="009B5D97"/>
    <w:rsid w:val="009C1D00"/>
    <w:rsid w:val="009C3D2A"/>
    <w:rsid w:val="009C527B"/>
    <w:rsid w:val="009D3A80"/>
    <w:rsid w:val="009D52CD"/>
    <w:rsid w:val="009D5FA1"/>
    <w:rsid w:val="009D6AC3"/>
    <w:rsid w:val="009E107A"/>
    <w:rsid w:val="009E4360"/>
    <w:rsid w:val="009E75D0"/>
    <w:rsid w:val="009F1FA6"/>
    <w:rsid w:val="009F5688"/>
    <w:rsid w:val="00A00D15"/>
    <w:rsid w:val="00A025BC"/>
    <w:rsid w:val="00A04FAD"/>
    <w:rsid w:val="00A12E20"/>
    <w:rsid w:val="00A15959"/>
    <w:rsid w:val="00A17E28"/>
    <w:rsid w:val="00A22741"/>
    <w:rsid w:val="00A250C1"/>
    <w:rsid w:val="00A269A4"/>
    <w:rsid w:val="00A27206"/>
    <w:rsid w:val="00A32AAE"/>
    <w:rsid w:val="00A34FB4"/>
    <w:rsid w:val="00A41969"/>
    <w:rsid w:val="00A41D36"/>
    <w:rsid w:val="00A439B0"/>
    <w:rsid w:val="00A45F28"/>
    <w:rsid w:val="00A53EAF"/>
    <w:rsid w:val="00A57E00"/>
    <w:rsid w:val="00A57FBD"/>
    <w:rsid w:val="00A741DC"/>
    <w:rsid w:val="00A7741A"/>
    <w:rsid w:val="00A83142"/>
    <w:rsid w:val="00A8355A"/>
    <w:rsid w:val="00A85DD1"/>
    <w:rsid w:val="00A932B1"/>
    <w:rsid w:val="00A96D09"/>
    <w:rsid w:val="00A9771E"/>
    <w:rsid w:val="00AA451C"/>
    <w:rsid w:val="00AA667C"/>
    <w:rsid w:val="00AB014A"/>
    <w:rsid w:val="00AB13DD"/>
    <w:rsid w:val="00AB2265"/>
    <w:rsid w:val="00AB3336"/>
    <w:rsid w:val="00AB5EC0"/>
    <w:rsid w:val="00AB70A7"/>
    <w:rsid w:val="00AC2048"/>
    <w:rsid w:val="00AD0933"/>
    <w:rsid w:val="00AD1463"/>
    <w:rsid w:val="00AE0F40"/>
    <w:rsid w:val="00AE1768"/>
    <w:rsid w:val="00AE1FAC"/>
    <w:rsid w:val="00AE2C72"/>
    <w:rsid w:val="00AF3E34"/>
    <w:rsid w:val="00AF4DD0"/>
    <w:rsid w:val="00AF7DE3"/>
    <w:rsid w:val="00B05998"/>
    <w:rsid w:val="00B26333"/>
    <w:rsid w:val="00B37E8A"/>
    <w:rsid w:val="00B5595A"/>
    <w:rsid w:val="00B62F13"/>
    <w:rsid w:val="00B6421B"/>
    <w:rsid w:val="00B64B52"/>
    <w:rsid w:val="00B70B26"/>
    <w:rsid w:val="00B71369"/>
    <w:rsid w:val="00B7334D"/>
    <w:rsid w:val="00B73C50"/>
    <w:rsid w:val="00B75BD3"/>
    <w:rsid w:val="00B80A37"/>
    <w:rsid w:val="00B81963"/>
    <w:rsid w:val="00B838F5"/>
    <w:rsid w:val="00B8742B"/>
    <w:rsid w:val="00BA241B"/>
    <w:rsid w:val="00BA4135"/>
    <w:rsid w:val="00BA73A3"/>
    <w:rsid w:val="00BB413F"/>
    <w:rsid w:val="00BB444C"/>
    <w:rsid w:val="00BC0BA0"/>
    <w:rsid w:val="00BC1BD9"/>
    <w:rsid w:val="00BC3A1F"/>
    <w:rsid w:val="00BC6E36"/>
    <w:rsid w:val="00BC783F"/>
    <w:rsid w:val="00BD1311"/>
    <w:rsid w:val="00BD1416"/>
    <w:rsid w:val="00BD1A35"/>
    <w:rsid w:val="00BD64D8"/>
    <w:rsid w:val="00BD6845"/>
    <w:rsid w:val="00BE2F1A"/>
    <w:rsid w:val="00BE39FC"/>
    <w:rsid w:val="00BE4DD6"/>
    <w:rsid w:val="00BE5F08"/>
    <w:rsid w:val="00BE61FC"/>
    <w:rsid w:val="00BF24BB"/>
    <w:rsid w:val="00BF579F"/>
    <w:rsid w:val="00BF76BD"/>
    <w:rsid w:val="00C01001"/>
    <w:rsid w:val="00C021C8"/>
    <w:rsid w:val="00C04D0B"/>
    <w:rsid w:val="00C06C3A"/>
    <w:rsid w:val="00C14177"/>
    <w:rsid w:val="00C17985"/>
    <w:rsid w:val="00C204D9"/>
    <w:rsid w:val="00C24491"/>
    <w:rsid w:val="00C245AF"/>
    <w:rsid w:val="00C26389"/>
    <w:rsid w:val="00C327BC"/>
    <w:rsid w:val="00C34B3F"/>
    <w:rsid w:val="00C37457"/>
    <w:rsid w:val="00C40109"/>
    <w:rsid w:val="00C41249"/>
    <w:rsid w:val="00C45246"/>
    <w:rsid w:val="00C45790"/>
    <w:rsid w:val="00C560BD"/>
    <w:rsid w:val="00C563E3"/>
    <w:rsid w:val="00C5723C"/>
    <w:rsid w:val="00C60608"/>
    <w:rsid w:val="00C63205"/>
    <w:rsid w:val="00C71C98"/>
    <w:rsid w:val="00C80A49"/>
    <w:rsid w:val="00C8192A"/>
    <w:rsid w:val="00C855DF"/>
    <w:rsid w:val="00C8581E"/>
    <w:rsid w:val="00C865B4"/>
    <w:rsid w:val="00C87072"/>
    <w:rsid w:val="00C90A38"/>
    <w:rsid w:val="00C939DF"/>
    <w:rsid w:val="00C974DD"/>
    <w:rsid w:val="00CA51DD"/>
    <w:rsid w:val="00CB1F87"/>
    <w:rsid w:val="00CB2799"/>
    <w:rsid w:val="00CB5C27"/>
    <w:rsid w:val="00CC2FDD"/>
    <w:rsid w:val="00CD394F"/>
    <w:rsid w:val="00CD6E56"/>
    <w:rsid w:val="00CE147D"/>
    <w:rsid w:val="00CE4FA1"/>
    <w:rsid w:val="00CE5B72"/>
    <w:rsid w:val="00CE5CD7"/>
    <w:rsid w:val="00CF0C7D"/>
    <w:rsid w:val="00CF3D6D"/>
    <w:rsid w:val="00D00DA9"/>
    <w:rsid w:val="00D064AE"/>
    <w:rsid w:val="00D06B5E"/>
    <w:rsid w:val="00D11DB1"/>
    <w:rsid w:val="00D123C6"/>
    <w:rsid w:val="00D15275"/>
    <w:rsid w:val="00D275C4"/>
    <w:rsid w:val="00D31B32"/>
    <w:rsid w:val="00D32B4A"/>
    <w:rsid w:val="00D41F69"/>
    <w:rsid w:val="00D45306"/>
    <w:rsid w:val="00D4689D"/>
    <w:rsid w:val="00D505CA"/>
    <w:rsid w:val="00D5136B"/>
    <w:rsid w:val="00D513AF"/>
    <w:rsid w:val="00D5204F"/>
    <w:rsid w:val="00D562DB"/>
    <w:rsid w:val="00D5654A"/>
    <w:rsid w:val="00D6293D"/>
    <w:rsid w:val="00D62A78"/>
    <w:rsid w:val="00D63A44"/>
    <w:rsid w:val="00D659F5"/>
    <w:rsid w:val="00D70723"/>
    <w:rsid w:val="00D7571A"/>
    <w:rsid w:val="00D75E92"/>
    <w:rsid w:val="00D80D84"/>
    <w:rsid w:val="00D84874"/>
    <w:rsid w:val="00D85EE8"/>
    <w:rsid w:val="00D90E31"/>
    <w:rsid w:val="00D9167D"/>
    <w:rsid w:val="00D918F8"/>
    <w:rsid w:val="00D951A7"/>
    <w:rsid w:val="00D9708F"/>
    <w:rsid w:val="00DA0335"/>
    <w:rsid w:val="00DA5458"/>
    <w:rsid w:val="00DA687F"/>
    <w:rsid w:val="00DA7D26"/>
    <w:rsid w:val="00DC168E"/>
    <w:rsid w:val="00DC1B92"/>
    <w:rsid w:val="00DC3905"/>
    <w:rsid w:val="00DC3E0D"/>
    <w:rsid w:val="00DD2311"/>
    <w:rsid w:val="00DD4685"/>
    <w:rsid w:val="00DD555A"/>
    <w:rsid w:val="00DE0936"/>
    <w:rsid w:val="00DE1A8D"/>
    <w:rsid w:val="00DE4642"/>
    <w:rsid w:val="00DF079E"/>
    <w:rsid w:val="00DF6F05"/>
    <w:rsid w:val="00E00ABF"/>
    <w:rsid w:val="00E05E41"/>
    <w:rsid w:val="00E12344"/>
    <w:rsid w:val="00E15D49"/>
    <w:rsid w:val="00E25D0F"/>
    <w:rsid w:val="00E31C2D"/>
    <w:rsid w:val="00E322FF"/>
    <w:rsid w:val="00E37F2C"/>
    <w:rsid w:val="00E43A76"/>
    <w:rsid w:val="00E502CC"/>
    <w:rsid w:val="00E5255B"/>
    <w:rsid w:val="00E52E7A"/>
    <w:rsid w:val="00E54384"/>
    <w:rsid w:val="00E54CA8"/>
    <w:rsid w:val="00E55283"/>
    <w:rsid w:val="00E55C9E"/>
    <w:rsid w:val="00E63F8E"/>
    <w:rsid w:val="00E71018"/>
    <w:rsid w:val="00E75028"/>
    <w:rsid w:val="00E7657E"/>
    <w:rsid w:val="00E773FE"/>
    <w:rsid w:val="00E86D6F"/>
    <w:rsid w:val="00E902E1"/>
    <w:rsid w:val="00EA2EFC"/>
    <w:rsid w:val="00EA3052"/>
    <w:rsid w:val="00EA6B3B"/>
    <w:rsid w:val="00EA748D"/>
    <w:rsid w:val="00EB1A3A"/>
    <w:rsid w:val="00EB443E"/>
    <w:rsid w:val="00EB597F"/>
    <w:rsid w:val="00EB7C15"/>
    <w:rsid w:val="00EC2B48"/>
    <w:rsid w:val="00EC2E27"/>
    <w:rsid w:val="00ED1E46"/>
    <w:rsid w:val="00ED54A4"/>
    <w:rsid w:val="00ED641D"/>
    <w:rsid w:val="00ED70C3"/>
    <w:rsid w:val="00EE3EDD"/>
    <w:rsid w:val="00EE708E"/>
    <w:rsid w:val="00EF17C6"/>
    <w:rsid w:val="00F02B5D"/>
    <w:rsid w:val="00F0682A"/>
    <w:rsid w:val="00F0797A"/>
    <w:rsid w:val="00F11093"/>
    <w:rsid w:val="00F11576"/>
    <w:rsid w:val="00F223ED"/>
    <w:rsid w:val="00F262CB"/>
    <w:rsid w:val="00F3589E"/>
    <w:rsid w:val="00F35F5E"/>
    <w:rsid w:val="00F37FC6"/>
    <w:rsid w:val="00F414E6"/>
    <w:rsid w:val="00F4287E"/>
    <w:rsid w:val="00F46029"/>
    <w:rsid w:val="00F46405"/>
    <w:rsid w:val="00F528D0"/>
    <w:rsid w:val="00F52EA3"/>
    <w:rsid w:val="00F56C31"/>
    <w:rsid w:val="00F578F6"/>
    <w:rsid w:val="00F604AB"/>
    <w:rsid w:val="00F615BB"/>
    <w:rsid w:val="00F6276E"/>
    <w:rsid w:val="00F66C01"/>
    <w:rsid w:val="00F75475"/>
    <w:rsid w:val="00F843C2"/>
    <w:rsid w:val="00F85551"/>
    <w:rsid w:val="00F90A20"/>
    <w:rsid w:val="00F91D1A"/>
    <w:rsid w:val="00FA19CC"/>
    <w:rsid w:val="00FA47DF"/>
    <w:rsid w:val="00FA50AA"/>
    <w:rsid w:val="00FB00DB"/>
    <w:rsid w:val="00FC7B57"/>
    <w:rsid w:val="00FD6B97"/>
    <w:rsid w:val="00FE3797"/>
    <w:rsid w:val="00FE3B79"/>
    <w:rsid w:val="00FE5451"/>
    <w:rsid w:val="00FE743D"/>
    <w:rsid w:val="00FF4E87"/>
    <w:rsid w:val="00FF58BF"/>
    <w:rsid w:val="00FF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5D82"/>
  <w15:docId w15:val="{7EB1A831-7E11-4617-BBED-7B93BEBA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3EAF"/>
    <w:rPr>
      <w:color w:val="0000FF"/>
      <w:u w:val="single"/>
    </w:rPr>
  </w:style>
  <w:style w:type="paragraph" w:styleId="ListParagraph">
    <w:name w:val="List Paragraph"/>
    <w:basedOn w:val="Normal"/>
    <w:uiPriority w:val="34"/>
    <w:qFormat/>
    <w:rsid w:val="008B3E00"/>
    <w:pPr>
      <w:ind w:left="720"/>
      <w:contextualSpacing/>
    </w:pPr>
  </w:style>
  <w:style w:type="paragraph" w:styleId="BalloonText">
    <w:name w:val="Balloon Text"/>
    <w:basedOn w:val="Normal"/>
    <w:link w:val="BalloonTextChar"/>
    <w:uiPriority w:val="99"/>
    <w:semiHidden/>
    <w:unhideWhenUsed/>
    <w:rsid w:val="0004615F"/>
    <w:rPr>
      <w:rFonts w:ascii="Tahoma" w:hAnsi="Tahoma" w:cs="Tahoma"/>
      <w:sz w:val="16"/>
      <w:szCs w:val="16"/>
    </w:rPr>
  </w:style>
  <w:style w:type="character" w:customStyle="1" w:styleId="BalloonTextChar">
    <w:name w:val="Balloon Text Char"/>
    <w:basedOn w:val="DefaultParagraphFont"/>
    <w:link w:val="BalloonText"/>
    <w:uiPriority w:val="99"/>
    <w:semiHidden/>
    <w:rsid w:val="0004615F"/>
    <w:rPr>
      <w:rFonts w:ascii="Tahoma" w:eastAsia="Times New Roman" w:hAnsi="Tahoma" w:cs="Tahoma"/>
      <w:sz w:val="16"/>
      <w:szCs w:val="16"/>
    </w:rPr>
  </w:style>
  <w:style w:type="paragraph" w:styleId="Header">
    <w:name w:val="header"/>
    <w:basedOn w:val="Normal"/>
    <w:link w:val="HeaderChar"/>
    <w:uiPriority w:val="99"/>
    <w:unhideWhenUsed/>
    <w:rsid w:val="0099008D"/>
    <w:pPr>
      <w:tabs>
        <w:tab w:val="center" w:pos="4680"/>
        <w:tab w:val="right" w:pos="9360"/>
      </w:tabs>
    </w:pPr>
  </w:style>
  <w:style w:type="character" w:customStyle="1" w:styleId="HeaderChar">
    <w:name w:val="Header Char"/>
    <w:basedOn w:val="DefaultParagraphFont"/>
    <w:link w:val="Header"/>
    <w:uiPriority w:val="99"/>
    <w:rsid w:val="009900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08D"/>
    <w:pPr>
      <w:tabs>
        <w:tab w:val="center" w:pos="4680"/>
        <w:tab w:val="right" w:pos="9360"/>
      </w:tabs>
    </w:pPr>
  </w:style>
  <w:style w:type="character" w:customStyle="1" w:styleId="FooterChar">
    <w:name w:val="Footer Char"/>
    <w:basedOn w:val="DefaultParagraphFont"/>
    <w:link w:val="Footer"/>
    <w:uiPriority w:val="99"/>
    <w:rsid w:val="0099008D"/>
    <w:rPr>
      <w:rFonts w:ascii="Times New Roman" w:eastAsia="Times New Roman" w:hAnsi="Times New Roman" w:cs="Times New Roman"/>
      <w:sz w:val="24"/>
      <w:szCs w:val="24"/>
    </w:rPr>
  </w:style>
  <w:style w:type="table" w:styleId="TableGrid">
    <w:name w:val="Table Grid"/>
    <w:basedOn w:val="TableNormal"/>
    <w:uiPriority w:val="59"/>
    <w:rsid w:val="009E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rsid w:val="00182BD0"/>
    <w:rPr>
      <w:rFonts w:ascii="Times New Roman" w:eastAsia="Times New Roman" w:hAnsi="Times New Roman"/>
      <w:color w:val="000000"/>
      <w:spacing w:val="0"/>
      <w:position w:val="0"/>
      <w:sz w:val="25"/>
      <w:szCs w:val="25"/>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8720">
      <w:bodyDiv w:val="1"/>
      <w:marLeft w:val="0"/>
      <w:marRight w:val="0"/>
      <w:marTop w:val="0"/>
      <w:marBottom w:val="0"/>
      <w:divBdr>
        <w:top w:val="none" w:sz="0" w:space="0" w:color="auto"/>
        <w:left w:val="none" w:sz="0" w:space="0" w:color="auto"/>
        <w:bottom w:val="none" w:sz="0" w:space="0" w:color="auto"/>
        <w:right w:val="none" w:sz="0" w:space="0" w:color="auto"/>
      </w:divBdr>
    </w:div>
    <w:div w:id="17942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dungcs_pc</dc:creator>
  <cp:lastModifiedBy>Hien_PC</cp:lastModifiedBy>
  <cp:revision>14</cp:revision>
  <cp:lastPrinted>2023-06-26T01:34:00Z</cp:lastPrinted>
  <dcterms:created xsi:type="dcterms:W3CDTF">2024-08-09T03:24:00Z</dcterms:created>
  <dcterms:modified xsi:type="dcterms:W3CDTF">2024-08-09T10:51:00Z</dcterms:modified>
</cp:coreProperties>
</file>