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847EC" w14:textId="2347D736" w:rsidR="00BA4135" w:rsidRPr="000D70A9" w:rsidRDefault="00613A47" w:rsidP="000D70A9">
      <w:pPr>
        <w:widowControl w:val="0"/>
        <w:spacing w:beforeLines="60" w:before="144" w:afterLines="60" w:after="144" w:line="360" w:lineRule="exact"/>
        <w:jc w:val="center"/>
        <w:rPr>
          <w:b/>
          <w:color w:val="000000" w:themeColor="text1"/>
          <w:sz w:val="28"/>
          <w:szCs w:val="28"/>
          <w:lang w:val="vi-VN"/>
        </w:rPr>
      </w:pPr>
      <w:r w:rsidRPr="000D70A9">
        <w:rPr>
          <w:i/>
          <w:noProof/>
          <w:color w:val="000000" w:themeColor="text1"/>
          <w:sz w:val="28"/>
          <w:szCs w:val="28"/>
        </w:rPr>
        <mc:AlternateContent>
          <mc:Choice Requires="wps">
            <w:drawing>
              <wp:anchor distT="0" distB="0" distL="114300" distR="114300" simplePos="0" relativeHeight="251660288" behindDoc="0" locked="0" layoutInCell="1" allowOverlap="1" wp14:anchorId="198FC638" wp14:editId="33DADB39">
                <wp:simplePos x="0" y="0"/>
                <wp:positionH relativeFrom="column">
                  <wp:posOffset>1816342</wp:posOffset>
                </wp:positionH>
                <wp:positionV relativeFrom="paragraph">
                  <wp:posOffset>560705</wp:posOffset>
                </wp:positionV>
                <wp:extent cx="2214645" cy="5286"/>
                <wp:effectExtent l="0" t="0" r="33655" b="33020"/>
                <wp:wrapNone/>
                <wp:docPr id="357668048" name="Đường nối Thẳng 1"/>
                <wp:cNvGraphicFramePr/>
                <a:graphic xmlns:a="http://schemas.openxmlformats.org/drawingml/2006/main">
                  <a:graphicData uri="http://schemas.microsoft.com/office/word/2010/wordprocessingShape">
                    <wps:wsp>
                      <wps:cNvCnPr/>
                      <wps:spPr>
                        <a:xfrm>
                          <a:off x="0" y="0"/>
                          <a:ext cx="2214645" cy="52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14087" id="Đường nối Thẳ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44.15pt" to="317.4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" strokecolor="black [3213]"/>
            </w:pict>
          </mc:Fallback>
        </mc:AlternateContent>
      </w:r>
      <w:r w:rsidR="008611A1" w:rsidRPr="000D70A9">
        <w:rPr>
          <w:b/>
          <w:color w:val="000000" w:themeColor="text1"/>
          <w:sz w:val="28"/>
          <w:szCs w:val="28"/>
          <w:lang w:val="vi-VN"/>
        </w:rPr>
        <w:t xml:space="preserve">Thuyết minh dự thảo Nghị quyết </w:t>
      </w:r>
      <w:r w:rsidR="00E55C9E" w:rsidRPr="000D70A9">
        <w:rPr>
          <w:b/>
          <w:color w:val="000000" w:themeColor="text1"/>
          <w:sz w:val="28"/>
          <w:szCs w:val="28"/>
        </w:rPr>
        <w:t>quy định một số cơ chế, chính sách đặc thù thực hiện Chương trình mục tiêu quốc gia trên địa bàn tỉnh Bắc Kạn</w:t>
      </w:r>
    </w:p>
    <w:p w14:paraId="06FBC9DB" w14:textId="7FC5AEBC" w:rsidR="00311F38" w:rsidRPr="000D70A9" w:rsidRDefault="00311F38" w:rsidP="000D70A9">
      <w:pPr>
        <w:widowControl w:val="0"/>
        <w:spacing w:beforeLines="60" w:before="144" w:afterLines="60" w:after="144" w:line="360" w:lineRule="exact"/>
        <w:jc w:val="center"/>
        <w:rPr>
          <w:i/>
          <w:color w:val="000000" w:themeColor="text1"/>
          <w:sz w:val="28"/>
          <w:szCs w:val="28"/>
          <w:lang w:val="vi-VN"/>
        </w:rPr>
      </w:pPr>
      <w:r w:rsidRPr="000D70A9">
        <w:rPr>
          <w:i/>
          <w:color w:val="000000" w:themeColor="text1"/>
          <w:sz w:val="28"/>
          <w:szCs w:val="28"/>
          <w:lang w:val="vi-VN"/>
        </w:rPr>
        <w:t xml:space="preserve">(Kèm theo </w:t>
      </w:r>
      <w:r w:rsidR="007C69F3" w:rsidRPr="000D70A9">
        <w:rPr>
          <w:i/>
          <w:color w:val="000000" w:themeColor="text1"/>
          <w:sz w:val="28"/>
          <w:szCs w:val="28"/>
          <w:lang w:val="vi-VN"/>
        </w:rPr>
        <w:t>T</w:t>
      </w:r>
      <w:r w:rsidRPr="000D70A9">
        <w:rPr>
          <w:i/>
          <w:color w:val="000000" w:themeColor="text1"/>
          <w:sz w:val="28"/>
          <w:szCs w:val="28"/>
          <w:lang w:val="vi-VN"/>
        </w:rPr>
        <w:t xml:space="preserve">ờ trình số: </w:t>
      </w:r>
      <w:r w:rsidR="007C69F3" w:rsidRPr="000D70A9">
        <w:rPr>
          <w:i/>
          <w:color w:val="000000" w:themeColor="text1"/>
          <w:sz w:val="28"/>
          <w:szCs w:val="28"/>
          <w:lang w:val="vi-VN"/>
        </w:rPr>
        <w:t xml:space="preserve">  </w:t>
      </w:r>
      <w:r w:rsidR="009B5B0C" w:rsidRPr="000D70A9">
        <w:rPr>
          <w:i/>
          <w:color w:val="000000" w:themeColor="text1"/>
          <w:sz w:val="28"/>
          <w:szCs w:val="28"/>
          <w:lang w:val="vi-VN"/>
        </w:rPr>
        <w:t xml:space="preserve"> </w:t>
      </w:r>
      <w:r w:rsidR="00613A47" w:rsidRPr="000D70A9">
        <w:rPr>
          <w:i/>
          <w:color w:val="000000" w:themeColor="text1"/>
          <w:sz w:val="28"/>
          <w:szCs w:val="28"/>
        </w:rPr>
        <w:t xml:space="preserve"> </w:t>
      </w:r>
      <w:r w:rsidR="008611A1" w:rsidRPr="000D70A9">
        <w:rPr>
          <w:i/>
          <w:color w:val="000000" w:themeColor="text1"/>
          <w:sz w:val="28"/>
          <w:szCs w:val="28"/>
          <w:lang w:val="vi-VN"/>
        </w:rPr>
        <w:t xml:space="preserve">  </w:t>
      </w:r>
      <w:r w:rsidR="007C69F3" w:rsidRPr="000D70A9">
        <w:rPr>
          <w:i/>
          <w:color w:val="000000" w:themeColor="text1"/>
          <w:sz w:val="28"/>
          <w:szCs w:val="28"/>
          <w:lang w:val="vi-VN"/>
        </w:rPr>
        <w:t xml:space="preserve"> /TTr-UBND ngày</w:t>
      </w:r>
      <w:r w:rsidR="008611A1" w:rsidRPr="000D70A9">
        <w:rPr>
          <w:i/>
          <w:color w:val="000000" w:themeColor="text1"/>
          <w:sz w:val="28"/>
          <w:szCs w:val="28"/>
          <w:lang w:val="vi-VN"/>
        </w:rPr>
        <w:t xml:space="preserve">   </w:t>
      </w:r>
      <w:r w:rsidR="00D84874" w:rsidRPr="000D70A9">
        <w:rPr>
          <w:i/>
          <w:color w:val="000000" w:themeColor="text1"/>
          <w:sz w:val="28"/>
          <w:szCs w:val="28"/>
          <w:lang w:val="vi-VN"/>
        </w:rPr>
        <w:t xml:space="preserve">  </w:t>
      </w:r>
      <w:r w:rsidR="008611A1" w:rsidRPr="000D70A9">
        <w:rPr>
          <w:i/>
          <w:color w:val="000000" w:themeColor="text1"/>
          <w:sz w:val="28"/>
          <w:szCs w:val="28"/>
          <w:lang w:val="vi-VN"/>
        </w:rPr>
        <w:t xml:space="preserve"> </w:t>
      </w:r>
      <w:r w:rsidR="007C69F3" w:rsidRPr="000D70A9">
        <w:rPr>
          <w:i/>
          <w:color w:val="000000" w:themeColor="text1"/>
          <w:sz w:val="28"/>
          <w:szCs w:val="28"/>
          <w:lang w:val="vi-VN"/>
        </w:rPr>
        <w:t xml:space="preserve"> /</w:t>
      </w:r>
      <w:r w:rsidR="00E55C9E" w:rsidRPr="000D70A9">
        <w:rPr>
          <w:i/>
          <w:color w:val="000000" w:themeColor="text1"/>
          <w:sz w:val="28"/>
          <w:szCs w:val="28"/>
        </w:rPr>
        <w:t>8</w:t>
      </w:r>
      <w:r w:rsidR="007C69F3" w:rsidRPr="000D70A9">
        <w:rPr>
          <w:i/>
          <w:color w:val="000000" w:themeColor="text1"/>
          <w:sz w:val="28"/>
          <w:szCs w:val="28"/>
          <w:lang w:val="vi-VN"/>
        </w:rPr>
        <w:t>/202</w:t>
      </w:r>
      <w:r w:rsidR="00E55C9E" w:rsidRPr="000D70A9">
        <w:rPr>
          <w:i/>
          <w:color w:val="000000" w:themeColor="text1"/>
          <w:sz w:val="28"/>
          <w:szCs w:val="28"/>
        </w:rPr>
        <w:t>4</w:t>
      </w:r>
      <w:r w:rsidR="007C69F3" w:rsidRPr="000D70A9">
        <w:rPr>
          <w:i/>
          <w:color w:val="000000" w:themeColor="text1"/>
          <w:sz w:val="28"/>
          <w:szCs w:val="28"/>
          <w:lang w:val="vi-VN"/>
        </w:rPr>
        <w:t xml:space="preserve"> của UBND tỉnh)</w:t>
      </w:r>
    </w:p>
    <w:p w14:paraId="21BF608B" w14:textId="19E8D2D7" w:rsidR="00E55C9E" w:rsidRPr="000D70A9" w:rsidRDefault="00807F88" w:rsidP="000D70A9">
      <w:pPr>
        <w:widowControl w:val="0"/>
        <w:spacing w:beforeLines="60" w:before="144" w:afterLines="60" w:after="144" w:line="360" w:lineRule="exact"/>
        <w:ind w:firstLine="709"/>
        <w:jc w:val="both"/>
        <w:rPr>
          <w:b/>
          <w:color w:val="000000" w:themeColor="text1"/>
          <w:sz w:val="28"/>
          <w:szCs w:val="28"/>
        </w:rPr>
      </w:pPr>
      <w:r w:rsidRPr="000D70A9">
        <w:rPr>
          <w:b/>
          <w:color w:val="000000" w:themeColor="text1"/>
          <w:sz w:val="28"/>
          <w:szCs w:val="28"/>
          <w:lang w:val="vi-VN"/>
        </w:rPr>
        <w:t xml:space="preserve">I. </w:t>
      </w:r>
      <w:r w:rsidR="00E55C9E" w:rsidRPr="000D70A9">
        <w:rPr>
          <w:b/>
          <w:color w:val="000000" w:themeColor="text1"/>
          <w:sz w:val="28"/>
          <w:szCs w:val="28"/>
          <w:bdr w:val="none" w:sz="0" w:space="0" w:color="auto" w:frame="1"/>
        </w:rPr>
        <w:t xml:space="preserve">Về phân bổ dự toán chi thường xuyên các </w:t>
      </w:r>
      <w:r w:rsidR="00E55C9E" w:rsidRPr="000D70A9">
        <w:rPr>
          <w:b/>
          <w:color w:val="000000" w:themeColor="text1"/>
          <w:sz w:val="28"/>
          <w:szCs w:val="28"/>
        </w:rPr>
        <w:t>Chương trình mục tiêu quốc gia (CTMTQG):</w:t>
      </w:r>
    </w:p>
    <w:p w14:paraId="161B1A49" w14:textId="7C18A289" w:rsidR="00E55C9E" w:rsidRPr="000D70A9" w:rsidRDefault="00E55C9E" w:rsidP="000D70A9">
      <w:pPr>
        <w:widowControl w:val="0"/>
        <w:spacing w:beforeLines="60" w:before="144" w:afterLines="60" w:after="144" w:line="360" w:lineRule="exact"/>
        <w:ind w:firstLine="709"/>
        <w:jc w:val="both"/>
        <w:rPr>
          <w:color w:val="000000" w:themeColor="text1"/>
          <w:sz w:val="28"/>
          <w:szCs w:val="28"/>
        </w:rPr>
      </w:pPr>
      <w:r w:rsidRPr="000D70A9">
        <w:rPr>
          <w:color w:val="000000" w:themeColor="text1"/>
          <w:sz w:val="28"/>
          <w:szCs w:val="28"/>
        </w:rPr>
        <w:t>Từ năm 2022 đến năm 2024, căn cứ các quy định của Trung ương, nguyên tắc, tiêu chí, định mức phân bổ các CTMTQG do HĐND tỉnh ban hành, nguồn kinh phí Trung ương phân bổ (chi tiết đến dự án) và nguồn đối ứng ngân sách địa phương theo quy định, HĐND tỉnh</w:t>
      </w:r>
      <w:r w:rsidR="00AB70A7" w:rsidRPr="000D70A9">
        <w:rPr>
          <w:color w:val="000000" w:themeColor="text1"/>
          <w:sz w:val="28"/>
          <w:szCs w:val="28"/>
        </w:rPr>
        <w:t>, UBND tỉnh</w:t>
      </w:r>
      <w:r w:rsidRPr="000D70A9">
        <w:rPr>
          <w:color w:val="000000" w:themeColor="text1"/>
          <w:sz w:val="28"/>
          <w:szCs w:val="28"/>
        </w:rPr>
        <w:t xml:space="preserve"> đã quyết định phân bổ dự toán chi thường xuyên các CTMTQG cho các đơn vị, địa phương chi tiết đến dự án thành phần</w:t>
      </w:r>
      <w:r w:rsidR="00AB70A7" w:rsidRPr="000D70A9">
        <w:rPr>
          <w:color w:val="000000" w:themeColor="text1"/>
          <w:sz w:val="28"/>
          <w:szCs w:val="28"/>
        </w:rPr>
        <w:t xml:space="preserve"> (HĐND tỉnh</w:t>
      </w:r>
      <w:r w:rsidR="00830614" w:rsidRPr="000D70A9">
        <w:rPr>
          <w:color w:val="000000" w:themeColor="text1"/>
          <w:sz w:val="28"/>
          <w:szCs w:val="28"/>
        </w:rPr>
        <w:t xml:space="preserve"> ban hành</w:t>
      </w:r>
      <w:r w:rsidR="00AB70A7" w:rsidRPr="000D70A9">
        <w:rPr>
          <w:color w:val="000000" w:themeColor="text1"/>
          <w:sz w:val="28"/>
          <w:szCs w:val="28"/>
        </w:rPr>
        <w:t xml:space="preserve">: </w:t>
      </w:r>
      <w:r w:rsidR="0014648D" w:rsidRPr="000D70A9">
        <w:rPr>
          <w:color w:val="000000" w:themeColor="text1"/>
          <w:sz w:val="28"/>
          <w:szCs w:val="28"/>
        </w:rPr>
        <w:t>08</w:t>
      </w:r>
      <w:r w:rsidR="00AB70A7" w:rsidRPr="000D70A9">
        <w:rPr>
          <w:color w:val="000000" w:themeColor="text1"/>
          <w:sz w:val="28"/>
          <w:szCs w:val="28"/>
        </w:rPr>
        <w:t xml:space="preserve"> Nghị quyết, UBND tỉnh</w:t>
      </w:r>
      <w:r w:rsidR="00830614" w:rsidRPr="000D70A9">
        <w:rPr>
          <w:color w:val="000000" w:themeColor="text1"/>
          <w:sz w:val="28"/>
          <w:szCs w:val="28"/>
        </w:rPr>
        <w:t xml:space="preserve"> ban hành</w:t>
      </w:r>
      <w:r w:rsidR="00AB70A7" w:rsidRPr="000D70A9">
        <w:rPr>
          <w:color w:val="000000" w:themeColor="text1"/>
          <w:sz w:val="28"/>
          <w:szCs w:val="28"/>
        </w:rPr>
        <w:t xml:space="preserve">: </w:t>
      </w:r>
      <w:r w:rsidR="0014648D" w:rsidRPr="000D70A9">
        <w:rPr>
          <w:color w:val="000000" w:themeColor="text1"/>
          <w:sz w:val="28"/>
          <w:szCs w:val="28"/>
        </w:rPr>
        <w:t>13</w:t>
      </w:r>
      <w:r w:rsidR="00AB70A7" w:rsidRPr="000D70A9">
        <w:rPr>
          <w:color w:val="000000" w:themeColor="text1"/>
          <w:sz w:val="28"/>
          <w:szCs w:val="28"/>
        </w:rPr>
        <w:t xml:space="preserve"> quyết định); </w:t>
      </w:r>
      <w:r w:rsidR="003B675C" w:rsidRPr="000D70A9">
        <w:rPr>
          <w:color w:val="000000" w:themeColor="text1"/>
          <w:sz w:val="28"/>
          <w:szCs w:val="28"/>
        </w:rPr>
        <w:t>quá trình thực hiện các CTMTQG, căn cứ các quy định hiện hành</w:t>
      </w:r>
      <w:r w:rsidR="00613A47" w:rsidRPr="000D70A9">
        <w:rPr>
          <w:color w:val="000000" w:themeColor="text1"/>
          <w:sz w:val="28"/>
          <w:szCs w:val="28"/>
        </w:rPr>
        <w:t>,</w:t>
      </w:r>
      <w:r w:rsidR="003B675C" w:rsidRPr="000D70A9">
        <w:rPr>
          <w:color w:val="000000" w:themeColor="text1"/>
          <w:sz w:val="28"/>
          <w:szCs w:val="28"/>
        </w:rPr>
        <w:t xml:space="preserve"> HĐND tỉnh, UBND tỉnh đã quyết định điều chỉnh dự toán chi thường xuyên các CTMTQG cho các đơn vị, địa phương để đảm bảo phù hợp với tình hình thực tế (HĐND tỉnh</w:t>
      </w:r>
      <w:r w:rsidR="00830614" w:rsidRPr="000D70A9">
        <w:rPr>
          <w:color w:val="000000" w:themeColor="text1"/>
          <w:sz w:val="28"/>
          <w:szCs w:val="28"/>
        </w:rPr>
        <w:t xml:space="preserve"> ban hành</w:t>
      </w:r>
      <w:r w:rsidR="003B675C" w:rsidRPr="000D70A9">
        <w:rPr>
          <w:color w:val="000000" w:themeColor="text1"/>
          <w:sz w:val="28"/>
          <w:szCs w:val="28"/>
        </w:rPr>
        <w:t xml:space="preserve">: </w:t>
      </w:r>
      <w:r w:rsidR="0014648D" w:rsidRPr="000D70A9">
        <w:rPr>
          <w:color w:val="000000" w:themeColor="text1"/>
          <w:sz w:val="28"/>
          <w:szCs w:val="28"/>
        </w:rPr>
        <w:t>03</w:t>
      </w:r>
      <w:r w:rsidR="003B675C" w:rsidRPr="000D70A9">
        <w:rPr>
          <w:color w:val="000000" w:themeColor="text1"/>
          <w:sz w:val="28"/>
          <w:szCs w:val="28"/>
        </w:rPr>
        <w:t xml:space="preserve"> Nghị quyết, UBND tỉnh</w:t>
      </w:r>
      <w:r w:rsidR="00830614" w:rsidRPr="000D70A9">
        <w:rPr>
          <w:color w:val="000000" w:themeColor="text1"/>
          <w:sz w:val="28"/>
          <w:szCs w:val="28"/>
        </w:rPr>
        <w:t xml:space="preserve"> ban hành</w:t>
      </w:r>
      <w:r w:rsidR="003B675C" w:rsidRPr="000D70A9">
        <w:rPr>
          <w:color w:val="000000" w:themeColor="text1"/>
          <w:sz w:val="28"/>
          <w:szCs w:val="28"/>
        </w:rPr>
        <w:t xml:space="preserve">: </w:t>
      </w:r>
      <w:r w:rsidR="0014648D" w:rsidRPr="000D70A9">
        <w:rPr>
          <w:color w:val="000000" w:themeColor="text1"/>
          <w:sz w:val="28"/>
          <w:szCs w:val="28"/>
        </w:rPr>
        <w:t>08</w:t>
      </w:r>
      <w:r w:rsidR="003B675C" w:rsidRPr="000D70A9">
        <w:rPr>
          <w:color w:val="000000" w:themeColor="text1"/>
          <w:sz w:val="28"/>
          <w:szCs w:val="28"/>
        </w:rPr>
        <w:t xml:space="preserve"> quyết định).</w:t>
      </w:r>
    </w:p>
    <w:p w14:paraId="5766F1BA" w14:textId="0BB9E54C" w:rsidR="00313BB7" w:rsidRPr="000D70A9" w:rsidRDefault="0022054D" w:rsidP="000D70A9">
      <w:pPr>
        <w:widowControl w:val="0"/>
        <w:spacing w:beforeLines="60" w:before="144" w:afterLines="60" w:after="144" w:line="360" w:lineRule="exact"/>
        <w:ind w:firstLine="709"/>
        <w:jc w:val="both"/>
        <w:rPr>
          <w:color w:val="000000" w:themeColor="text1"/>
          <w:sz w:val="28"/>
          <w:szCs w:val="28"/>
        </w:rPr>
      </w:pPr>
      <w:r w:rsidRPr="000D70A9">
        <w:rPr>
          <w:color w:val="000000" w:themeColor="text1"/>
          <w:sz w:val="28"/>
          <w:szCs w:val="28"/>
        </w:rPr>
        <w:t>Việc</w:t>
      </w:r>
      <w:r w:rsidR="0014648D" w:rsidRPr="000D70A9">
        <w:rPr>
          <w:color w:val="000000" w:themeColor="text1"/>
          <w:sz w:val="28"/>
          <w:szCs w:val="28"/>
        </w:rPr>
        <w:t xml:space="preserve"> HĐND tỉnh</w:t>
      </w:r>
      <w:r w:rsidRPr="000D70A9">
        <w:rPr>
          <w:color w:val="000000" w:themeColor="text1"/>
          <w:sz w:val="28"/>
          <w:szCs w:val="28"/>
        </w:rPr>
        <w:t xml:space="preserve"> phân bổ chi tiết đến dự án thành phần </w:t>
      </w:r>
      <w:r w:rsidR="00313BB7" w:rsidRPr="000D70A9">
        <w:rPr>
          <w:color w:val="000000" w:themeColor="text1"/>
          <w:sz w:val="28"/>
          <w:szCs w:val="28"/>
        </w:rPr>
        <w:t xml:space="preserve">còn gặp khó khăn, cụ thể như có dự án chưa phân bổ được ngay sau khi Trung ương giao vốn do các địa phương chưa đề xuất nhu cầu hoặc nhu cầu của địa phương thấp hơn dự toán của Trung ương giao, dẫn đến trong năm </w:t>
      </w:r>
      <w:r w:rsidR="007971C2" w:rsidRPr="000D70A9">
        <w:rPr>
          <w:color w:val="000000" w:themeColor="text1"/>
          <w:sz w:val="28"/>
          <w:szCs w:val="28"/>
        </w:rPr>
        <w:t xml:space="preserve">tỉnh </w:t>
      </w:r>
      <w:r w:rsidR="00313BB7" w:rsidRPr="000D70A9">
        <w:rPr>
          <w:color w:val="000000" w:themeColor="text1"/>
          <w:sz w:val="28"/>
          <w:szCs w:val="28"/>
        </w:rPr>
        <w:t>phải thực hiện phân bổ nhiều lần (điển hình là năm 2022).</w:t>
      </w:r>
    </w:p>
    <w:p w14:paraId="49E3B8BF" w14:textId="3F28035C" w:rsidR="007971C2" w:rsidRPr="000D70A9" w:rsidRDefault="007971C2" w:rsidP="000D70A9">
      <w:pPr>
        <w:widowControl w:val="0"/>
        <w:spacing w:beforeLines="60" w:before="144" w:afterLines="60" w:after="144" w:line="360" w:lineRule="exact"/>
        <w:ind w:firstLine="709"/>
        <w:jc w:val="both"/>
        <w:rPr>
          <w:color w:val="000000" w:themeColor="text1"/>
          <w:sz w:val="28"/>
          <w:szCs w:val="28"/>
        </w:rPr>
      </w:pPr>
      <w:r w:rsidRPr="000D70A9">
        <w:rPr>
          <w:color w:val="000000" w:themeColor="text1"/>
          <w:sz w:val="28"/>
          <w:szCs w:val="28"/>
        </w:rPr>
        <w:t xml:space="preserve">Để đảm bảo phù hợp với tình hình thực tế và nâng cao hiệu quả giải ngân nguồn kinh phí chi thường xuyên các CTMTQG thì quá trình thực hiện các địa phương đều có nhu cầu điều chỉnh kinh phí giữa các dự án thành phần trong cùng một CTMTQG theo tinh thần tại Nghị quyết số 111/2024/QH15. </w:t>
      </w:r>
    </w:p>
    <w:p w14:paraId="3D11870D" w14:textId="6D5D5754" w:rsidR="00E54384" w:rsidRPr="000D70A9" w:rsidRDefault="00E54384" w:rsidP="000D70A9">
      <w:pPr>
        <w:spacing w:beforeLines="60" w:before="144" w:afterLines="60" w:after="144" w:line="360" w:lineRule="exact"/>
        <w:ind w:firstLine="720"/>
        <w:jc w:val="both"/>
        <w:rPr>
          <w:color w:val="000000" w:themeColor="text1"/>
          <w:sz w:val="28"/>
          <w:szCs w:val="28"/>
        </w:rPr>
      </w:pPr>
      <w:r w:rsidRPr="000D70A9">
        <w:rPr>
          <w:color w:val="000000" w:themeColor="text1"/>
          <w:sz w:val="28"/>
          <w:szCs w:val="28"/>
        </w:rPr>
        <w:t>Việc điều chỉnh xuất phát từ đơn vị dự toán cấp huyện hoặc UBND cấp xã rà soát, đề xuất, tổng hợp gửi UBND cấp huyện, UBND cấp huyện giao cơ quan chuyên môn rà soát, tổng hợp và tham mưu báo cáo cơ quan chuyên môn cấp tỉnh; cơ quan chuyên môn cấp tỉnh rà soát, thẩm định, trình UBND tỉnh để trình HĐND cấp tỉnh xem xét, quyết định vào kỳ họp HĐND cấp tỉnh.</w:t>
      </w:r>
    </w:p>
    <w:p w14:paraId="44BB8885" w14:textId="67D2D54D" w:rsidR="00E54384" w:rsidRPr="000D70A9" w:rsidRDefault="00E54384" w:rsidP="000D70A9">
      <w:pPr>
        <w:spacing w:beforeLines="60" w:before="144" w:afterLines="60" w:after="144" w:line="360" w:lineRule="exact"/>
        <w:ind w:firstLine="709"/>
        <w:jc w:val="both"/>
        <w:rPr>
          <w:color w:val="000000" w:themeColor="text1"/>
          <w:sz w:val="28"/>
          <w:szCs w:val="28"/>
          <w:bdr w:val="none" w:sz="0" w:space="0" w:color="auto" w:frame="1"/>
        </w:rPr>
      </w:pPr>
      <w:r w:rsidRPr="000D70A9">
        <w:rPr>
          <w:color w:val="000000" w:themeColor="text1"/>
          <w:sz w:val="28"/>
          <w:szCs w:val="28"/>
        </w:rPr>
        <w:t xml:space="preserve">Như vậy, việc trình điều chỉnh kinh phí </w:t>
      </w:r>
      <w:r w:rsidRPr="000D70A9">
        <w:rPr>
          <w:color w:val="000000" w:themeColor="text1"/>
          <w:sz w:val="28"/>
          <w:szCs w:val="28"/>
          <w:bdr w:val="none" w:sz="0" w:space="0" w:color="auto" w:frame="1"/>
        </w:rPr>
        <w:t xml:space="preserve">phải qua nhiều công đoạn rà soát, xem xét, dẫn đến việc điều chỉnh dễ bị kéo dài, các địa phương thiếu tính chủ động trong triển khai thực hiện kinh phí sự nghiệp các CTMTQG; đồng thời, cơ quan chuyên môn cấp tỉnh phải lập Bảng theo dõi chi tiết số kinh phí </w:t>
      </w:r>
      <w:r w:rsidR="0014648D" w:rsidRPr="000D70A9">
        <w:rPr>
          <w:color w:val="000000" w:themeColor="text1"/>
          <w:sz w:val="28"/>
          <w:szCs w:val="28"/>
          <w:bdr w:val="none" w:sz="0" w:space="0" w:color="auto" w:frame="1"/>
        </w:rPr>
        <w:t xml:space="preserve">đã </w:t>
      </w:r>
      <w:r w:rsidRPr="000D70A9">
        <w:rPr>
          <w:color w:val="000000" w:themeColor="text1"/>
          <w:sz w:val="28"/>
          <w:szCs w:val="28"/>
          <w:bdr w:val="none" w:sz="0" w:space="0" w:color="auto" w:frame="1"/>
        </w:rPr>
        <w:t>cấp cho từng địa phương, chi tiết đến từng dự án thành phần, chi tiết các nội dung đã điều chỉnh, bổ sung, dẫn đến việc theo dõi chi tiết các dự án thành phần của cơ quan chuyên môn cấp tỉnh cũng mất nhiều thời gian.</w:t>
      </w:r>
    </w:p>
    <w:p w14:paraId="00500D94" w14:textId="6E81AED8" w:rsidR="00830614" w:rsidRPr="000D70A9" w:rsidRDefault="00830614" w:rsidP="000D70A9">
      <w:pPr>
        <w:spacing w:beforeLines="60" w:before="144" w:afterLines="60" w:after="144" w:line="360" w:lineRule="exact"/>
        <w:ind w:firstLine="709"/>
        <w:jc w:val="both"/>
        <w:rPr>
          <w:color w:val="000000" w:themeColor="text1"/>
          <w:sz w:val="28"/>
          <w:szCs w:val="28"/>
          <w:bdr w:val="none" w:sz="0" w:space="0" w:color="auto" w:frame="1"/>
        </w:rPr>
      </w:pPr>
      <w:r w:rsidRPr="000D70A9">
        <w:rPr>
          <w:color w:val="000000" w:themeColor="text1"/>
          <w:sz w:val="28"/>
          <w:szCs w:val="28"/>
          <w:bdr w:val="none" w:sz="0" w:space="0" w:color="auto" w:frame="1"/>
        </w:rPr>
        <w:lastRenderedPageBreak/>
        <w:t>Việc phân cấp cho HĐND cấp huyện phân bổ dự toán chi thường xuyên các CTMTQG chi tiết đến dự án thành phần sẽ được thực hiện như sau: HĐND cấp tỉnh quyết định phân bổ tổng kinh phí từng CTMTQG đến cấp huyện; HĐND cấp huyện thực hiện phân bổ chi tiết đến từng đơn vị dự toán cấp huyện, UBND cấp xã và chi tiết đến từng dự án thành phần; quá trình triển khai thực hiện CTMTQG, trường hợp các đơn vị dự toán cấp huyện, UBND cấp xã có nhu cầu điều chỉnh</w:t>
      </w:r>
      <w:r w:rsidR="00DC3E0D" w:rsidRPr="000D70A9">
        <w:rPr>
          <w:color w:val="000000" w:themeColor="text1"/>
          <w:sz w:val="28"/>
          <w:szCs w:val="28"/>
          <w:bdr w:val="none" w:sz="0" w:space="0" w:color="auto" w:frame="1"/>
        </w:rPr>
        <w:t>, bổ sung</w:t>
      </w:r>
      <w:r w:rsidRPr="000D70A9">
        <w:rPr>
          <w:color w:val="000000" w:themeColor="text1"/>
          <w:sz w:val="28"/>
          <w:szCs w:val="28"/>
          <w:bdr w:val="none" w:sz="0" w:space="0" w:color="auto" w:frame="1"/>
        </w:rPr>
        <w:t xml:space="preserve"> kinh phí giữa các dự án thành phần hoặc giữa các đơn vị, địa phương thì các đơn vị, địa phương thuộc cấp huyện, cấp xã đề xuất với cơ quan chuyên môn của huyện xem xét, thẩm định, trình UBND cấp huyện để trình HĐND cấp huyện </w:t>
      </w:r>
      <w:r w:rsidR="00DC3E0D" w:rsidRPr="000D70A9">
        <w:rPr>
          <w:color w:val="000000" w:themeColor="text1"/>
          <w:sz w:val="28"/>
          <w:szCs w:val="28"/>
          <w:bdr w:val="none" w:sz="0" w:space="0" w:color="auto" w:frame="1"/>
        </w:rPr>
        <w:t>xem xét, quyết định điều chỉnh, bổ sung cho phù hợp với tình hình thực tế. Như vậy, việc phân cấp cho HĐND cấp huyện phân bổ chi tiết đến từng dự án thành phần của các CTMTQG sẽ rút ngắn đáng kể thời gian thực hiện điều chỉnh, bổ sung kinh phí chi thường xuyên các CTMTQG, góp phần đầy nhanh tiến độ thực hiện và giải ngân nguồn vốn của CTMTQG.</w:t>
      </w:r>
      <w:r w:rsidR="0014648D" w:rsidRPr="000D70A9">
        <w:rPr>
          <w:color w:val="000000" w:themeColor="text1"/>
          <w:sz w:val="28"/>
          <w:szCs w:val="28"/>
          <w:bdr w:val="none" w:sz="0" w:space="0" w:color="auto" w:frame="1"/>
        </w:rPr>
        <w:t xml:space="preserve"> Đồng thời, việc cấp huyện tự điều chỉnh dự toán</w:t>
      </w:r>
      <w:r w:rsidR="000D70A9" w:rsidRPr="000D70A9">
        <w:rPr>
          <w:color w:val="000000" w:themeColor="text1"/>
          <w:sz w:val="28"/>
          <w:szCs w:val="28"/>
          <w:bdr w:val="none" w:sz="0" w:space="0" w:color="auto" w:frame="1"/>
        </w:rPr>
        <w:t xml:space="preserve"> chi tiết</w:t>
      </w:r>
      <w:r w:rsidR="0014648D" w:rsidRPr="000D70A9">
        <w:rPr>
          <w:color w:val="000000" w:themeColor="text1"/>
          <w:sz w:val="28"/>
          <w:szCs w:val="28"/>
          <w:bdr w:val="none" w:sz="0" w:space="0" w:color="auto" w:frame="1"/>
        </w:rPr>
        <w:t xml:space="preserve"> thì chỉ trong phạm vi cấp huyện</w:t>
      </w:r>
      <w:r w:rsidR="000D70A9" w:rsidRPr="000D70A9">
        <w:rPr>
          <w:color w:val="000000" w:themeColor="text1"/>
          <w:sz w:val="28"/>
          <w:szCs w:val="28"/>
          <w:bdr w:val="none" w:sz="0" w:space="0" w:color="auto" w:frame="1"/>
        </w:rPr>
        <w:t>;</w:t>
      </w:r>
      <w:r w:rsidR="0014648D" w:rsidRPr="000D70A9">
        <w:rPr>
          <w:color w:val="000000" w:themeColor="text1"/>
          <w:sz w:val="28"/>
          <w:szCs w:val="28"/>
          <w:bdr w:val="none" w:sz="0" w:space="0" w:color="auto" w:frame="1"/>
        </w:rPr>
        <w:t xml:space="preserve"> địa phương nào thực hiện các bước trình điều chỉnh sớm</w:t>
      </w:r>
      <w:r w:rsidR="000D70A9" w:rsidRPr="000D70A9">
        <w:rPr>
          <w:color w:val="000000" w:themeColor="text1"/>
          <w:sz w:val="28"/>
          <w:szCs w:val="28"/>
          <w:bdr w:val="none" w:sz="0" w:space="0" w:color="auto" w:frame="1"/>
        </w:rPr>
        <w:t>,</w:t>
      </w:r>
      <w:r w:rsidR="0014648D" w:rsidRPr="000D70A9">
        <w:rPr>
          <w:color w:val="000000" w:themeColor="text1"/>
          <w:sz w:val="28"/>
          <w:szCs w:val="28"/>
          <w:bdr w:val="none" w:sz="0" w:space="0" w:color="auto" w:frame="1"/>
        </w:rPr>
        <w:t xml:space="preserve"> </w:t>
      </w:r>
      <w:r w:rsidR="000D70A9" w:rsidRPr="000D70A9">
        <w:rPr>
          <w:color w:val="000000" w:themeColor="text1"/>
          <w:sz w:val="28"/>
          <w:szCs w:val="28"/>
          <w:bdr w:val="none" w:sz="0" w:space="0" w:color="auto" w:frame="1"/>
        </w:rPr>
        <w:t xml:space="preserve">cấp có thẩm quyền của huyện sẽ </w:t>
      </w:r>
      <w:r w:rsidR="0014648D" w:rsidRPr="000D70A9">
        <w:rPr>
          <w:color w:val="000000" w:themeColor="text1"/>
          <w:sz w:val="28"/>
          <w:szCs w:val="28"/>
          <w:bdr w:val="none" w:sz="0" w:space="0" w:color="auto" w:frame="1"/>
        </w:rPr>
        <w:t>quyết định điều</w:t>
      </w:r>
      <w:r w:rsidR="000D70A9" w:rsidRPr="000D70A9">
        <w:rPr>
          <w:color w:val="000000" w:themeColor="text1"/>
          <w:sz w:val="28"/>
          <w:szCs w:val="28"/>
          <w:bdr w:val="none" w:sz="0" w:space="0" w:color="auto" w:frame="1"/>
        </w:rPr>
        <w:t xml:space="preserve"> chỉnh được sớm, không phải phụ</w:t>
      </w:r>
      <w:r w:rsidR="0014648D" w:rsidRPr="000D70A9">
        <w:rPr>
          <w:color w:val="000000" w:themeColor="text1"/>
          <w:sz w:val="28"/>
          <w:szCs w:val="28"/>
          <w:bdr w:val="none" w:sz="0" w:space="0" w:color="auto" w:frame="1"/>
        </w:rPr>
        <w:t xml:space="preserve"> thuộc vào các địa phương khác</w:t>
      </w:r>
      <w:r w:rsidR="000D70A9" w:rsidRPr="000D70A9">
        <w:rPr>
          <w:color w:val="000000" w:themeColor="text1"/>
          <w:sz w:val="28"/>
          <w:szCs w:val="28"/>
          <w:bdr w:val="none" w:sz="0" w:space="0" w:color="auto" w:frame="1"/>
        </w:rPr>
        <w:t>; trường hợp cấp tỉnh điều chỉnh sẽ phải chờ cả 08 địa phương hoàn thành các bước đề xuất điều chỉnh, cấp có thẩm quyền của tỉnh mới thực hiện điều chỉnh được dự toán.</w:t>
      </w:r>
    </w:p>
    <w:p w14:paraId="0B55AFE5" w14:textId="77777777" w:rsidR="00E54384" w:rsidRPr="000D70A9" w:rsidRDefault="00E54384" w:rsidP="000D70A9">
      <w:pPr>
        <w:spacing w:beforeLines="60" w:before="144" w:afterLines="60" w:after="144" w:line="360" w:lineRule="exact"/>
        <w:ind w:firstLine="720"/>
        <w:jc w:val="both"/>
        <w:rPr>
          <w:color w:val="000000" w:themeColor="text1"/>
          <w:sz w:val="28"/>
          <w:szCs w:val="28"/>
          <w:bdr w:val="none" w:sz="0" w:space="0" w:color="auto" w:frame="1"/>
        </w:rPr>
      </w:pPr>
      <w:r w:rsidRPr="000D70A9">
        <w:rPr>
          <w:color w:val="000000" w:themeColor="text1"/>
          <w:sz w:val="28"/>
          <w:szCs w:val="28"/>
          <w:bdr w:val="none" w:sz="0" w:space="0" w:color="auto" w:frame="1"/>
        </w:rPr>
        <w:t>Từ nội dung trên, để tạo điều kiện thuận lợi và tính chủ động cho các đơn vị, địa phương triển khai thực hiện kinh phí sự nghiệp các CTMTQG thì việc HĐND cấp tỉnh phân cấp cho HĐND cấp huyện phân bổ chi tiết đến dự án thành phần đối với kinh phí sự nghiệp các CTMTQG là cần thiết và phù hợp với quy định hiện hành.</w:t>
      </w:r>
    </w:p>
    <w:p w14:paraId="6173E84F" w14:textId="77777777" w:rsidR="000310DF" w:rsidRPr="000D70A9" w:rsidRDefault="00807F88" w:rsidP="000D70A9">
      <w:pPr>
        <w:widowControl w:val="0"/>
        <w:spacing w:beforeLines="60" w:before="144" w:afterLines="60" w:after="144" w:line="360" w:lineRule="exact"/>
        <w:ind w:firstLine="709"/>
        <w:jc w:val="both"/>
        <w:rPr>
          <w:b/>
          <w:color w:val="000000" w:themeColor="text1"/>
          <w:sz w:val="28"/>
          <w:szCs w:val="28"/>
        </w:rPr>
      </w:pPr>
      <w:r w:rsidRPr="000D70A9">
        <w:rPr>
          <w:b/>
          <w:color w:val="000000" w:themeColor="text1"/>
          <w:sz w:val="28"/>
          <w:szCs w:val="28"/>
          <w:lang w:val="vi-VN"/>
        </w:rPr>
        <w:t>I</w:t>
      </w:r>
      <w:r w:rsidR="00E43A76" w:rsidRPr="000D70A9">
        <w:rPr>
          <w:b/>
          <w:color w:val="000000" w:themeColor="text1"/>
          <w:sz w:val="28"/>
          <w:szCs w:val="28"/>
          <w:lang w:val="vi-VN"/>
        </w:rPr>
        <w:t>I</w:t>
      </w:r>
      <w:r w:rsidR="008326D5" w:rsidRPr="000D70A9">
        <w:rPr>
          <w:b/>
          <w:color w:val="000000" w:themeColor="text1"/>
          <w:sz w:val="28"/>
          <w:szCs w:val="28"/>
          <w:lang w:val="vi-VN"/>
        </w:rPr>
        <w:t xml:space="preserve">. </w:t>
      </w:r>
      <w:r w:rsidR="00B62F13" w:rsidRPr="000D70A9">
        <w:rPr>
          <w:b/>
          <w:color w:val="000000" w:themeColor="text1"/>
          <w:sz w:val="28"/>
          <w:szCs w:val="28"/>
          <w:lang w:val="vi-VN"/>
        </w:rPr>
        <w:t xml:space="preserve">Thuyết minh </w:t>
      </w:r>
      <w:r w:rsidR="00D62A78" w:rsidRPr="000D70A9">
        <w:rPr>
          <w:b/>
          <w:color w:val="000000" w:themeColor="text1"/>
          <w:sz w:val="28"/>
          <w:szCs w:val="28"/>
          <w:lang w:val="vi-VN"/>
        </w:rPr>
        <w:t xml:space="preserve">về </w:t>
      </w:r>
      <w:r w:rsidR="00AB3336" w:rsidRPr="000D70A9">
        <w:rPr>
          <w:b/>
          <w:color w:val="000000" w:themeColor="text1"/>
          <w:sz w:val="28"/>
          <w:szCs w:val="28"/>
        </w:rPr>
        <w:t>mức hỗ trợ cho các chủ dự án (đơn vị chủ trì liên kết/cộng đồng dân cư) trực tiếp sản xuất, cung ứng hàng hóa, dịch vụ để đưa vào thực hiện dự án phát triển sản xuất do chính chủ dự án này thực hiện</w:t>
      </w:r>
      <w:r w:rsidR="000310DF" w:rsidRPr="000D70A9">
        <w:rPr>
          <w:b/>
          <w:color w:val="000000" w:themeColor="text1"/>
          <w:sz w:val="28"/>
          <w:szCs w:val="28"/>
        </w:rPr>
        <w:t>:</w:t>
      </w:r>
    </w:p>
    <w:p w14:paraId="600E4214" w14:textId="35E2305D" w:rsidR="00DA0335" w:rsidRPr="000D70A9" w:rsidRDefault="000310DF" w:rsidP="000D70A9">
      <w:pPr>
        <w:spacing w:beforeLines="60" w:before="144" w:afterLines="60" w:after="144" w:line="360" w:lineRule="exact"/>
        <w:ind w:firstLine="709"/>
        <w:jc w:val="both"/>
        <w:rPr>
          <w:rFonts w:eastAsiaTheme="minorEastAsia"/>
          <w:color w:val="000000" w:themeColor="text1"/>
          <w:sz w:val="28"/>
          <w:szCs w:val="28"/>
        </w:rPr>
      </w:pPr>
      <w:r w:rsidRPr="000D70A9">
        <w:rPr>
          <w:color w:val="000000" w:themeColor="text1"/>
          <w:sz w:val="28"/>
          <w:szCs w:val="28"/>
        </w:rPr>
        <w:t xml:space="preserve">Để thuận lợi cho các đơn vị, địa phương triển khai thực hiện dự án hỗ trợ phát triển sản xuất, căn cứ theo quy định tại Thông tư số 55/2023/TT-BTC ngày </w:t>
      </w:r>
      <w:r w:rsidR="00DA0335" w:rsidRPr="000D70A9">
        <w:rPr>
          <w:iCs/>
          <w:color w:val="000000" w:themeColor="text1"/>
          <w:sz w:val="28"/>
          <w:szCs w:val="28"/>
          <w:lang w:val="nl-NL"/>
        </w:rPr>
        <w:t xml:space="preserve">15/8/2023 của Bộ Tài chính Quy định quản lý, sử dụng và quyết toán kinh phí sự nghiệp từ nguồn ngân sách nhà nước thực hiện các Chương trình mục tiêu quốc gia giai đoạn 2021-2025 (Thông tư số 55/2023/TT-BTC) và tình hình thực tế, UBND tỉnh đã hướng dẫn </w:t>
      </w:r>
      <w:r w:rsidR="00613A47" w:rsidRPr="000D70A9">
        <w:rPr>
          <w:iCs/>
          <w:color w:val="000000" w:themeColor="text1"/>
          <w:sz w:val="28"/>
          <w:szCs w:val="28"/>
          <w:lang w:val="nl-NL"/>
        </w:rPr>
        <w:t>việc</w:t>
      </w:r>
      <w:r w:rsidR="00DA0335" w:rsidRPr="000D70A9">
        <w:rPr>
          <w:iCs/>
          <w:color w:val="000000" w:themeColor="text1"/>
          <w:sz w:val="28"/>
          <w:szCs w:val="28"/>
          <w:lang w:val="nl-NL"/>
        </w:rPr>
        <w:t xml:space="preserve"> mua sắm hàng hóa để thực hiện dự án hỗ trợ phát triển sản xuất trong trường hợp chủ dự án mua sắm hàng hóa của chính chủ dự án này để đưa vào thực hiện dự án hỗ trợ phát triển sản xuất tại Quyết định số 1528/QĐ-UBND ngày 21/8/2023. Cụ thể nội dung hướng dẫn như sau:</w:t>
      </w:r>
      <w:r w:rsidR="00DA0335" w:rsidRPr="000D70A9">
        <w:rPr>
          <w:rFonts w:eastAsiaTheme="minorEastAsia"/>
          <w:color w:val="000000" w:themeColor="text1"/>
          <w:sz w:val="28"/>
          <w:szCs w:val="28"/>
        </w:rPr>
        <w:t xml:space="preserve"> </w:t>
      </w:r>
    </w:p>
    <w:p w14:paraId="304E3E59" w14:textId="50B9FB3D" w:rsidR="00DA0335" w:rsidRPr="000D70A9" w:rsidRDefault="00DA0335" w:rsidP="000D70A9">
      <w:pPr>
        <w:spacing w:beforeLines="60" w:before="144" w:afterLines="60" w:after="144" w:line="360" w:lineRule="exact"/>
        <w:ind w:firstLine="709"/>
        <w:jc w:val="both"/>
        <w:rPr>
          <w:rFonts w:eastAsiaTheme="minorEastAsia"/>
          <w:i/>
          <w:color w:val="000000" w:themeColor="text1"/>
          <w:sz w:val="28"/>
          <w:szCs w:val="28"/>
        </w:rPr>
      </w:pPr>
      <w:r w:rsidRPr="000D70A9">
        <w:rPr>
          <w:rFonts w:eastAsiaTheme="minorEastAsia"/>
          <w:i/>
          <w:color w:val="000000" w:themeColor="text1"/>
          <w:sz w:val="28"/>
          <w:szCs w:val="28"/>
        </w:rPr>
        <w:lastRenderedPageBreak/>
        <w:t xml:space="preserve">“+ Đối với trường hợp mua hàng hóa do đơn vị chủ trì liên kết tự sản xuất ra: Đơn vị chủ trì liên kết xác định giá hàng hóa đưa vào sản xuất phải đảm bảo phù hợp với giá cả thị trường, </w:t>
      </w:r>
      <w:r w:rsidRPr="000D70A9">
        <w:rPr>
          <w:i/>
          <w:color w:val="000000" w:themeColor="text1"/>
          <w:sz w:val="28"/>
          <w:szCs w:val="28"/>
        </w:rPr>
        <w:t xml:space="preserve">không được cao hơn giá của cơ quan được giao nhiệm vụ thẩm định giá thông báo. Trong đó, </w:t>
      </w:r>
      <w:r w:rsidRPr="000D70A9">
        <w:rPr>
          <w:rFonts w:eastAsiaTheme="minorEastAsia"/>
          <w:i/>
          <w:color w:val="000000" w:themeColor="text1"/>
          <w:sz w:val="28"/>
          <w:szCs w:val="28"/>
        </w:rPr>
        <w:t>trường hợp đơn vị chủ trì liên kết cung cấp được hóa đơn hoặc biên lai thì đơn vị phải xuất hóa đơn hoặc biên lai đối với số lượng hàng hóa đưa vào sản xuất và phải được UBND cấp xã xác nhận; trường hợp đơn vị chủ trì liên kết không cung cấp được hóa đơn hoặc biên lai thì đơn vị phải làm giấy biên nhận đối với số lượng hàng hóa đưa vào sản xuất và phải được UBND cấp xã xác nhận.”</w:t>
      </w:r>
    </w:p>
    <w:p w14:paraId="4E5B80FD" w14:textId="45180762" w:rsidR="001E6614" w:rsidRPr="000D70A9" w:rsidRDefault="00DA0335" w:rsidP="000D70A9">
      <w:pPr>
        <w:spacing w:beforeLines="60" w:before="144" w:afterLines="60" w:after="144" w:line="360" w:lineRule="exact"/>
        <w:ind w:firstLine="709"/>
        <w:jc w:val="both"/>
        <w:textAlignment w:val="baseline"/>
        <w:rPr>
          <w:i/>
          <w:color w:val="000000" w:themeColor="text1"/>
          <w:sz w:val="28"/>
          <w:szCs w:val="28"/>
        </w:rPr>
      </w:pPr>
      <w:r w:rsidRPr="000D70A9">
        <w:rPr>
          <w:iCs/>
          <w:color w:val="000000" w:themeColor="text1"/>
          <w:sz w:val="28"/>
          <w:szCs w:val="28"/>
          <w:lang w:val="nl-NL"/>
        </w:rPr>
        <w:t xml:space="preserve">Tiếp theo đó, đến thời điểm </w:t>
      </w:r>
      <w:r w:rsidRPr="000D70A9">
        <w:rPr>
          <w:color w:val="000000" w:themeColor="text1"/>
          <w:sz w:val="28"/>
          <w:szCs w:val="28"/>
        </w:rPr>
        <w:t xml:space="preserve">Nghị quyết số 111/2024/QH15 được ban hành và có hiệu lực thì tại Nghị quyết này quy định: </w:t>
      </w:r>
      <w:r w:rsidRPr="000D70A9">
        <w:rPr>
          <w:i/>
          <w:color w:val="000000" w:themeColor="text1"/>
          <w:sz w:val="28"/>
          <w:szCs w:val="28"/>
        </w:rPr>
        <w:t>“</w:t>
      </w:r>
      <w:r w:rsidR="001E6614" w:rsidRPr="000D70A9">
        <w:rPr>
          <w:i/>
          <w:color w:val="000000" w:themeColor="text1"/>
          <w:sz w:val="28"/>
          <w:szCs w:val="28"/>
        </w:rPr>
        <w:t>Trường hợp chủ dự án trực tiếp sản xuất, cung ứng hàng hóa, dịch vụ thuộc ngành nghề kinh doanh của mình, cơ quan quản lý dự án thanh toán trực tiếp chi phí sản xuất, cung ứng hàng hóa, dịch vụ cho chủ dự án theo định mức hỗ trợ do Hội đồng nhân dân cấp tỉnh quy định. Trường hợp chưa có quy định của Hội đồng nhân dân cấp tỉnh về định mức hỗ trợ, cơ quan quản lý dự án thanh toán theo giá của hàng hóa, dịch vụ được phê duyệt tại quyết định phê duyệt dự án của cấp có thẩm quyền; cấp có thẩm quyền phê duyệt dự án quyết định giá hàng hóa, dịch vụ trên cơ sở giá của hàng hóa, dịch vụ cùng loại được mua bán tại địa bàn thực hiện dự án do cơ quan chuyên môn về tài chính thuộc Ủy ban nhân dân cùng cấp đề xuất; trường hợp tại địa bàn thực hiện dự án chưa có hàng hóa, dịch vụ cùng loại được mua bán thì cơ quan chuyên môn về tài chính thuộc Ủy ban nhân dân cùng cấp tham chiếu giá bán hàng hóa, dịch vụ cùng loại trên</w:t>
      </w:r>
      <w:r w:rsidR="001E6614" w:rsidRPr="000D70A9">
        <w:rPr>
          <w:i/>
          <w:color w:val="000000" w:themeColor="text1"/>
          <w:sz w:val="28"/>
          <w:szCs w:val="28"/>
          <w:bdr w:val="none" w:sz="0" w:space="0" w:color="auto" w:frame="1"/>
        </w:rPr>
        <w:t> địa bàn tỉnh để đề xuất; đối với dự án do Chủ tịch Ủy ban nhân dân cấp xã phê duyệt thì cơ quan chuyên môn về tài chính thuộc Ủy ban nhân dân cấp huyện đề xuất</w:t>
      </w:r>
      <w:r w:rsidR="001E6614" w:rsidRPr="000D70A9">
        <w:rPr>
          <w:i/>
          <w:color w:val="000000" w:themeColor="text1"/>
          <w:sz w:val="28"/>
          <w:szCs w:val="28"/>
        </w:rPr>
        <w:t>;”</w:t>
      </w:r>
    </w:p>
    <w:p w14:paraId="22EF3ABB" w14:textId="04037BA8" w:rsidR="00DA0335" w:rsidRPr="000D70A9" w:rsidRDefault="001E6614" w:rsidP="000D70A9">
      <w:pPr>
        <w:widowControl w:val="0"/>
        <w:spacing w:beforeLines="60" w:before="144" w:afterLines="60" w:after="144" w:line="360" w:lineRule="exact"/>
        <w:ind w:firstLine="709"/>
        <w:jc w:val="both"/>
        <w:rPr>
          <w:color w:val="000000" w:themeColor="text1"/>
          <w:sz w:val="28"/>
          <w:szCs w:val="28"/>
        </w:rPr>
      </w:pPr>
      <w:r w:rsidRPr="000D70A9">
        <w:rPr>
          <w:color w:val="000000" w:themeColor="text1"/>
          <w:sz w:val="28"/>
          <w:szCs w:val="28"/>
        </w:rPr>
        <w:t>Như vậy, theo hướng dẫn của UBND tỉnh và quy định của Quốc hội nêu trên cho thấy mức giá của hàng hóa do chính chủ dự án sản xuất ra đưa vào thực hiện dự án không cao hơn mức giá do cơ quan tài chính hoặc cơ quan được giao thẩm định giá thông báo, đảm bảo phù hợp với giá cả thị trường.</w:t>
      </w:r>
    </w:p>
    <w:p w14:paraId="14AB889E" w14:textId="539E3354" w:rsidR="001E6614" w:rsidRPr="000D70A9" w:rsidRDefault="001E6614" w:rsidP="000D70A9">
      <w:pPr>
        <w:widowControl w:val="0"/>
        <w:spacing w:beforeLines="60" w:before="144" w:afterLines="60" w:after="144" w:line="360" w:lineRule="exact"/>
        <w:ind w:firstLine="709"/>
        <w:jc w:val="both"/>
        <w:rPr>
          <w:color w:val="000000" w:themeColor="text1"/>
          <w:sz w:val="28"/>
          <w:szCs w:val="28"/>
        </w:rPr>
      </w:pPr>
      <w:r w:rsidRPr="000D70A9">
        <w:rPr>
          <w:color w:val="000000" w:themeColor="text1"/>
          <w:sz w:val="28"/>
          <w:szCs w:val="28"/>
        </w:rPr>
        <w:t xml:space="preserve">Thực tế hiện nay, qua rà soát tại các đơn vị, địa phương triển khai thực hiện dự án hỗ trợ phát triển sản xuất cho thấy: </w:t>
      </w:r>
      <w:r w:rsidR="00D45306" w:rsidRPr="000D70A9">
        <w:rPr>
          <w:color w:val="000000" w:themeColor="text1"/>
          <w:sz w:val="28"/>
          <w:szCs w:val="28"/>
        </w:rPr>
        <w:t xml:space="preserve">Trên địa bàn toàn tỉnh có </w:t>
      </w:r>
      <w:r w:rsidR="00731EBB">
        <w:rPr>
          <w:color w:val="000000" w:themeColor="text1"/>
          <w:sz w:val="28"/>
          <w:szCs w:val="28"/>
        </w:rPr>
        <w:t>0</w:t>
      </w:r>
      <w:bookmarkStart w:id="0" w:name="_GoBack"/>
      <w:bookmarkEnd w:id="0"/>
      <w:r w:rsidR="00D45306" w:rsidRPr="000D70A9">
        <w:rPr>
          <w:color w:val="000000" w:themeColor="text1"/>
          <w:sz w:val="28"/>
          <w:szCs w:val="28"/>
        </w:rPr>
        <w:t>9 dự án hỗ trợ phát triển sản xuất thực hiện mua sắm hàng hóa để đưa vào thực hiện dự án của chính chủ dự án; mức giá hàng hóa mua sắm không cao hơn giá do cơ quan được giao nhiệm vụ thẩm định giá thông báo, đảm bảo phù hợp với giá cả thị trường (chi tiết theo Biểu số 01 đính kèm).</w:t>
      </w:r>
    </w:p>
    <w:p w14:paraId="76BDFBE6" w14:textId="5C088B51" w:rsidR="00D45306" w:rsidRPr="000D70A9" w:rsidRDefault="00D45306" w:rsidP="000D70A9">
      <w:pPr>
        <w:widowControl w:val="0"/>
        <w:spacing w:beforeLines="60" w:before="144" w:afterLines="60" w:after="144" w:line="360" w:lineRule="exact"/>
        <w:ind w:firstLine="709"/>
        <w:jc w:val="both"/>
        <w:rPr>
          <w:color w:val="000000" w:themeColor="text1"/>
          <w:sz w:val="28"/>
          <w:szCs w:val="28"/>
        </w:rPr>
      </w:pPr>
      <w:r w:rsidRPr="000D70A9">
        <w:rPr>
          <w:color w:val="000000" w:themeColor="text1"/>
          <w:sz w:val="28"/>
          <w:szCs w:val="28"/>
        </w:rPr>
        <w:t xml:space="preserve">Theo đó, việc đề xuất mức hỗ trợ tại dự thảo Nghị quyết để đảm bảo phù hợp với tình hình thực </w:t>
      </w:r>
      <w:r w:rsidR="006E0AE3" w:rsidRPr="000D70A9">
        <w:rPr>
          <w:color w:val="000000" w:themeColor="text1"/>
          <w:sz w:val="28"/>
          <w:szCs w:val="28"/>
        </w:rPr>
        <w:t>tế</w:t>
      </w:r>
      <w:r w:rsidRPr="000D70A9">
        <w:rPr>
          <w:color w:val="000000" w:themeColor="text1"/>
          <w:sz w:val="28"/>
          <w:szCs w:val="28"/>
        </w:rPr>
        <w:t xml:space="preserve"> trong thời gian qua, tránh xảy ra những thắc </w:t>
      </w:r>
      <w:r w:rsidR="006E0AE3" w:rsidRPr="000D70A9">
        <w:rPr>
          <w:color w:val="000000" w:themeColor="text1"/>
          <w:sz w:val="28"/>
          <w:szCs w:val="28"/>
        </w:rPr>
        <w:t xml:space="preserve">mắc, so bì </w:t>
      </w:r>
      <w:r w:rsidRPr="000D70A9">
        <w:rPr>
          <w:color w:val="000000" w:themeColor="text1"/>
          <w:sz w:val="28"/>
          <w:szCs w:val="28"/>
        </w:rPr>
        <w:t>lẫn nhau giữa các chủ dự án về mức hỗ trợ</w:t>
      </w:r>
      <w:r w:rsidR="006E0AE3" w:rsidRPr="000D70A9">
        <w:rPr>
          <w:color w:val="000000" w:themeColor="text1"/>
          <w:sz w:val="28"/>
          <w:szCs w:val="28"/>
        </w:rPr>
        <w:t xml:space="preserve"> (trong trường hợp dự thảo Nghị </w:t>
      </w:r>
      <w:r w:rsidR="006E0AE3" w:rsidRPr="000D70A9">
        <w:rPr>
          <w:color w:val="000000" w:themeColor="text1"/>
          <w:sz w:val="28"/>
          <w:szCs w:val="28"/>
        </w:rPr>
        <w:lastRenderedPageBreak/>
        <w:t>quyết quy định mức hỗ trợ thấp hơn), đồng thời thuận lợi cho các đơn vị, địa phương trong quá trình triển khai thực hiện dự án hỗ trợ phát triển sản xuất.</w:t>
      </w:r>
    </w:p>
    <w:p w14:paraId="4ED59CC8" w14:textId="6671B19A" w:rsidR="006E0AE3" w:rsidRPr="000D70A9" w:rsidRDefault="006E0AE3" w:rsidP="000D70A9">
      <w:pPr>
        <w:widowControl w:val="0"/>
        <w:spacing w:beforeLines="60" w:before="144" w:afterLines="60" w:after="144" w:line="360" w:lineRule="exact"/>
        <w:ind w:firstLine="709"/>
        <w:jc w:val="both"/>
        <w:rPr>
          <w:color w:val="000000" w:themeColor="text1"/>
          <w:sz w:val="28"/>
          <w:szCs w:val="28"/>
        </w:rPr>
      </w:pPr>
      <w:r w:rsidRPr="000D70A9">
        <w:rPr>
          <w:color w:val="000000" w:themeColor="text1"/>
          <w:sz w:val="28"/>
          <w:szCs w:val="28"/>
        </w:rPr>
        <w:t xml:space="preserve">Tại dự thảo Nghị quyết không quy định được cụ thể mức hỗ trợ từng mặt hàng với mức hỗ trợ là bao nhiêu do giá cả hàng hóa thị trường luôn biến động theo từng thời điểm, bên cạnh đó </w:t>
      </w:r>
      <w:r w:rsidR="00C021C8" w:rsidRPr="000D70A9">
        <w:rPr>
          <w:color w:val="000000" w:themeColor="text1"/>
          <w:sz w:val="28"/>
          <w:szCs w:val="28"/>
        </w:rPr>
        <w:t xml:space="preserve">các </w:t>
      </w:r>
      <w:r w:rsidRPr="000D70A9">
        <w:rPr>
          <w:color w:val="000000" w:themeColor="text1"/>
          <w:sz w:val="28"/>
          <w:szCs w:val="28"/>
        </w:rPr>
        <w:t>chủ dự án trên địa bàn triển khai rất nhiều dự án khác nhau, quy mô</w:t>
      </w:r>
      <w:r w:rsidR="00C021C8" w:rsidRPr="000D70A9">
        <w:rPr>
          <w:color w:val="000000" w:themeColor="text1"/>
          <w:sz w:val="28"/>
          <w:szCs w:val="28"/>
        </w:rPr>
        <w:t>, tính chất</w:t>
      </w:r>
      <w:r w:rsidRPr="000D70A9">
        <w:rPr>
          <w:color w:val="000000" w:themeColor="text1"/>
          <w:sz w:val="28"/>
          <w:szCs w:val="28"/>
        </w:rPr>
        <w:t xml:space="preserve"> cũng khác nhau, dẫn đến rất khó để xác định mức giá hoặc mức hỗ trợ cụ thể đối với từng </w:t>
      </w:r>
      <w:r w:rsidR="00C021C8" w:rsidRPr="000D70A9">
        <w:rPr>
          <w:color w:val="000000" w:themeColor="text1"/>
          <w:sz w:val="28"/>
          <w:szCs w:val="28"/>
        </w:rPr>
        <w:t>loại</w:t>
      </w:r>
      <w:r w:rsidRPr="000D70A9">
        <w:rPr>
          <w:color w:val="000000" w:themeColor="text1"/>
          <w:sz w:val="28"/>
          <w:szCs w:val="28"/>
        </w:rPr>
        <w:t xml:space="preserve"> hàng hóa đưa vào thực hiện dự án phát triển sản xuất.</w:t>
      </w:r>
    </w:p>
    <w:p w14:paraId="15794436" w14:textId="77777777" w:rsidR="00D45306" w:rsidRPr="000D70A9" w:rsidRDefault="00D45306" w:rsidP="000D70A9">
      <w:pPr>
        <w:widowControl w:val="0"/>
        <w:spacing w:beforeLines="60" w:before="144" w:afterLines="60" w:after="144" w:line="360" w:lineRule="exact"/>
        <w:ind w:firstLine="709"/>
        <w:jc w:val="both"/>
        <w:rPr>
          <w:color w:val="000000" w:themeColor="text1"/>
          <w:sz w:val="28"/>
          <w:szCs w:val="28"/>
        </w:rPr>
      </w:pPr>
    </w:p>
    <w:p w14:paraId="036E4A12" w14:textId="77777777" w:rsidR="001E6614" w:rsidRPr="000D70A9" w:rsidRDefault="001E6614" w:rsidP="000D70A9">
      <w:pPr>
        <w:widowControl w:val="0"/>
        <w:spacing w:beforeLines="60" w:before="144" w:afterLines="60" w:after="144" w:line="360" w:lineRule="exact"/>
        <w:ind w:firstLine="709"/>
        <w:jc w:val="both"/>
        <w:rPr>
          <w:color w:val="000000" w:themeColor="text1"/>
          <w:sz w:val="28"/>
          <w:szCs w:val="28"/>
        </w:rPr>
      </w:pPr>
    </w:p>
    <w:p w14:paraId="2ACEE3C5" w14:textId="74F82B4A" w:rsidR="00DA0335" w:rsidRPr="000D70A9" w:rsidRDefault="00DA0335" w:rsidP="000D70A9">
      <w:pPr>
        <w:widowControl w:val="0"/>
        <w:spacing w:beforeLines="60" w:before="144" w:afterLines="60" w:after="144" w:line="360" w:lineRule="exact"/>
        <w:ind w:firstLine="709"/>
        <w:jc w:val="both"/>
        <w:rPr>
          <w:iCs/>
          <w:color w:val="000000" w:themeColor="text1"/>
          <w:sz w:val="28"/>
          <w:szCs w:val="28"/>
          <w:lang w:val="nl-NL"/>
        </w:rPr>
      </w:pPr>
    </w:p>
    <w:sectPr w:rsidR="00DA0335" w:rsidRPr="000D70A9" w:rsidSect="00DE4642">
      <w:headerReference w:type="default" r:id="rId7"/>
      <w:pgSz w:w="11907" w:h="16840" w:code="9"/>
      <w:pgMar w:top="1134" w:right="1134" w:bottom="1021" w:left="1701"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D29DF" w14:textId="77777777" w:rsidR="00AE0B57" w:rsidRDefault="00AE0B57" w:rsidP="0099008D">
      <w:r>
        <w:separator/>
      </w:r>
    </w:p>
  </w:endnote>
  <w:endnote w:type="continuationSeparator" w:id="0">
    <w:p w14:paraId="2C14A424" w14:textId="77777777" w:rsidR="00AE0B57" w:rsidRDefault="00AE0B57" w:rsidP="0099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A18F7" w14:textId="77777777" w:rsidR="00AE0B57" w:rsidRDefault="00AE0B57" w:rsidP="0099008D">
      <w:r>
        <w:separator/>
      </w:r>
    </w:p>
  </w:footnote>
  <w:footnote w:type="continuationSeparator" w:id="0">
    <w:p w14:paraId="6EA89DDA" w14:textId="77777777" w:rsidR="00AE0B57" w:rsidRDefault="00AE0B57" w:rsidP="00990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995460"/>
      <w:docPartObj>
        <w:docPartGallery w:val="Page Numbers (Top of Page)"/>
        <w:docPartUnique/>
      </w:docPartObj>
    </w:sdtPr>
    <w:sdtEndPr>
      <w:rPr>
        <w:noProof/>
      </w:rPr>
    </w:sdtEndPr>
    <w:sdtContent>
      <w:p w14:paraId="1DE3C596" w14:textId="1D8623AC" w:rsidR="00982E7B" w:rsidRDefault="00982E7B">
        <w:pPr>
          <w:pStyle w:val="Header"/>
          <w:jc w:val="center"/>
        </w:pPr>
        <w:r>
          <w:fldChar w:fldCharType="begin"/>
        </w:r>
        <w:r>
          <w:instrText xml:space="preserve"> PAGE   \* MERGEFORMAT </w:instrText>
        </w:r>
        <w:r>
          <w:fldChar w:fldCharType="separate"/>
        </w:r>
        <w:r w:rsidR="00731EBB">
          <w:rPr>
            <w:noProof/>
          </w:rPr>
          <w:t>3</w:t>
        </w:r>
        <w:r>
          <w:rPr>
            <w:noProof/>
          </w:rPr>
          <w:fldChar w:fldCharType="end"/>
        </w:r>
      </w:p>
    </w:sdtContent>
  </w:sdt>
  <w:p w14:paraId="61790733" w14:textId="77777777" w:rsidR="00982E7B" w:rsidRDefault="00982E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F86"/>
    <w:multiLevelType w:val="hybridMultilevel"/>
    <w:tmpl w:val="88FA423C"/>
    <w:lvl w:ilvl="0" w:tplc="64905F8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F013AF1"/>
    <w:multiLevelType w:val="hybridMultilevel"/>
    <w:tmpl w:val="3B769B98"/>
    <w:lvl w:ilvl="0" w:tplc="C94E6990">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4745BEA"/>
    <w:multiLevelType w:val="hybridMultilevel"/>
    <w:tmpl w:val="C486D41A"/>
    <w:lvl w:ilvl="0" w:tplc="F240382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4D44A13"/>
    <w:multiLevelType w:val="hybridMultilevel"/>
    <w:tmpl w:val="D85031F6"/>
    <w:lvl w:ilvl="0" w:tplc="2174A288">
      <w:start w:val="1"/>
      <w:numFmt w:val="upperRoman"/>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B22E1"/>
    <w:multiLevelType w:val="hybridMultilevel"/>
    <w:tmpl w:val="8B629928"/>
    <w:lvl w:ilvl="0" w:tplc="736A04E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95F7BA6"/>
    <w:multiLevelType w:val="hybridMultilevel"/>
    <w:tmpl w:val="A1A85A3E"/>
    <w:lvl w:ilvl="0" w:tplc="FF18CF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D352B"/>
    <w:multiLevelType w:val="hybridMultilevel"/>
    <w:tmpl w:val="03925856"/>
    <w:lvl w:ilvl="0" w:tplc="F7D07F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CE00226"/>
    <w:multiLevelType w:val="hybridMultilevel"/>
    <w:tmpl w:val="9424B262"/>
    <w:lvl w:ilvl="0" w:tplc="AA16A53C">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27C271D"/>
    <w:multiLevelType w:val="hybridMultilevel"/>
    <w:tmpl w:val="0EBA39D4"/>
    <w:lvl w:ilvl="0" w:tplc="CF0A5804">
      <w:start w:val="1"/>
      <w:numFmt w:val="upperRoman"/>
      <w:lvlText w:val="%1."/>
      <w:lvlJc w:val="left"/>
      <w:pPr>
        <w:ind w:left="1961" w:hanging="111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6AB1C0C"/>
    <w:multiLevelType w:val="hybridMultilevel"/>
    <w:tmpl w:val="F0AEFD42"/>
    <w:lvl w:ilvl="0" w:tplc="3A4E25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614BEB"/>
    <w:multiLevelType w:val="hybridMultilevel"/>
    <w:tmpl w:val="E13AE9E6"/>
    <w:lvl w:ilvl="0" w:tplc="C31EEE5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1EE253F"/>
    <w:multiLevelType w:val="hybridMultilevel"/>
    <w:tmpl w:val="8FBC8C06"/>
    <w:lvl w:ilvl="0" w:tplc="80BAFE0A">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17D8"/>
    <w:multiLevelType w:val="hybridMultilevel"/>
    <w:tmpl w:val="589CE77C"/>
    <w:lvl w:ilvl="0" w:tplc="72A6C7C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9B75D81"/>
    <w:multiLevelType w:val="hybridMultilevel"/>
    <w:tmpl w:val="25C6A4EA"/>
    <w:lvl w:ilvl="0" w:tplc="3D30C08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1F20FBB"/>
    <w:multiLevelType w:val="hybridMultilevel"/>
    <w:tmpl w:val="296431C4"/>
    <w:lvl w:ilvl="0" w:tplc="FA5C3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EF7C00"/>
    <w:multiLevelType w:val="hybridMultilevel"/>
    <w:tmpl w:val="2272DA6A"/>
    <w:lvl w:ilvl="0" w:tplc="64A6CAD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7A71DF4"/>
    <w:multiLevelType w:val="hybridMultilevel"/>
    <w:tmpl w:val="C6DC8BFE"/>
    <w:lvl w:ilvl="0" w:tplc="037A9D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772339"/>
    <w:multiLevelType w:val="hybridMultilevel"/>
    <w:tmpl w:val="F4BA19AA"/>
    <w:lvl w:ilvl="0" w:tplc="13A631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367695"/>
    <w:multiLevelType w:val="hybridMultilevel"/>
    <w:tmpl w:val="F0ACB3E0"/>
    <w:lvl w:ilvl="0" w:tplc="91944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F609F7"/>
    <w:multiLevelType w:val="hybridMultilevel"/>
    <w:tmpl w:val="FF96CE06"/>
    <w:lvl w:ilvl="0" w:tplc="234C6D4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54BE394F"/>
    <w:multiLevelType w:val="hybridMultilevel"/>
    <w:tmpl w:val="F7C4D5EE"/>
    <w:lvl w:ilvl="0" w:tplc="C7C6A9F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63895DE4"/>
    <w:multiLevelType w:val="hybridMultilevel"/>
    <w:tmpl w:val="07A0EEFC"/>
    <w:lvl w:ilvl="0" w:tplc="9E5227BE">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3B7301"/>
    <w:multiLevelType w:val="hybridMultilevel"/>
    <w:tmpl w:val="64F68B64"/>
    <w:lvl w:ilvl="0" w:tplc="1166FCEA">
      <w:start w:val="1"/>
      <w:numFmt w:val="upperRoman"/>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100D2B"/>
    <w:multiLevelType w:val="hybridMultilevel"/>
    <w:tmpl w:val="8EDCFDDE"/>
    <w:lvl w:ilvl="0" w:tplc="1C72872E">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7B9E2985"/>
    <w:multiLevelType w:val="hybridMultilevel"/>
    <w:tmpl w:val="82A434B8"/>
    <w:lvl w:ilvl="0" w:tplc="3DDEBA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EB0089B"/>
    <w:multiLevelType w:val="hybridMultilevel"/>
    <w:tmpl w:val="E5AA7070"/>
    <w:lvl w:ilvl="0" w:tplc="9A8A346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9"/>
  </w:num>
  <w:num w:numId="2">
    <w:abstractNumId w:val="23"/>
  </w:num>
  <w:num w:numId="3">
    <w:abstractNumId w:val="6"/>
  </w:num>
  <w:num w:numId="4">
    <w:abstractNumId w:val="8"/>
  </w:num>
  <w:num w:numId="5">
    <w:abstractNumId w:val="17"/>
  </w:num>
  <w:num w:numId="6">
    <w:abstractNumId w:val="9"/>
  </w:num>
  <w:num w:numId="7">
    <w:abstractNumId w:val="20"/>
  </w:num>
  <w:num w:numId="8">
    <w:abstractNumId w:val="2"/>
  </w:num>
  <w:num w:numId="9">
    <w:abstractNumId w:val="16"/>
  </w:num>
  <w:num w:numId="10">
    <w:abstractNumId w:val="5"/>
  </w:num>
  <w:num w:numId="11">
    <w:abstractNumId w:val="3"/>
  </w:num>
  <w:num w:numId="12">
    <w:abstractNumId w:val="11"/>
  </w:num>
  <w:num w:numId="13">
    <w:abstractNumId w:val="18"/>
  </w:num>
  <w:num w:numId="14">
    <w:abstractNumId w:val="22"/>
  </w:num>
  <w:num w:numId="15">
    <w:abstractNumId w:val="7"/>
  </w:num>
  <w:num w:numId="16">
    <w:abstractNumId w:val="14"/>
  </w:num>
  <w:num w:numId="17">
    <w:abstractNumId w:val="21"/>
  </w:num>
  <w:num w:numId="18">
    <w:abstractNumId w:val="0"/>
  </w:num>
  <w:num w:numId="19">
    <w:abstractNumId w:val="25"/>
  </w:num>
  <w:num w:numId="20">
    <w:abstractNumId w:val="1"/>
  </w:num>
  <w:num w:numId="21">
    <w:abstractNumId w:val="13"/>
  </w:num>
  <w:num w:numId="22">
    <w:abstractNumId w:val="4"/>
  </w:num>
  <w:num w:numId="23">
    <w:abstractNumId w:val="12"/>
  </w:num>
  <w:num w:numId="24">
    <w:abstractNumId w:val="24"/>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BA"/>
    <w:rsid w:val="000037C8"/>
    <w:rsid w:val="00004ED2"/>
    <w:rsid w:val="00005D01"/>
    <w:rsid w:val="000073AB"/>
    <w:rsid w:val="00007F97"/>
    <w:rsid w:val="00010079"/>
    <w:rsid w:val="00016480"/>
    <w:rsid w:val="00024E97"/>
    <w:rsid w:val="00025B6D"/>
    <w:rsid w:val="0002681B"/>
    <w:rsid w:val="00026988"/>
    <w:rsid w:val="000310DF"/>
    <w:rsid w:val="000322E3"/>
    <w:rsid w:val="00034334"/>
    <w:rsid w:val="00037B8C"/>
    <w:rsid w:val="000402BF"/>
    <w:rsid w:val="00041250"/>
    <w:rsid w:val="00043273"/>
    <w:rsid w:val="00044A4F"/>
    <w:rsid w:val="0004615F"/>
    <w:rsid w:val="00055EBA"/>
    <w:rsid w:val="00057580"/>
    <w:rsid w:val="00061D35"/>
    <w:rsid w:val="000736D6"/>
    <w:rsid w:val="00073A38"/>
    <w:rsid w:val="00087D3B"/>
    <w:rsid w:val="0009543B"/>
    <w:rsid w:val="000A1DC2"/>
    <w:rsid w:val="000A2930"/>
    <w:rsid w:val="000A5379"/>
    <w:rsid w:val="000B05AD"/>
    <w:rsid w:val="000B0E4D"/>
    <w:rsid w:val="000B0F69"/>
    <w:rsid w:val="000C1D23"/>
    <w:rsid w:val="000C3D3D"/>
    <w:rsid w:val="000D17DA"/>
    <w:rsid w:val="000D70A9"/>
    <w:rsid w:val="000E1C93"/>
    <w:rsid w:val="000E72EC"/>
    <w:rsid w:val="00100164"/>
    <w:rsid w:val="001011BC"/>
    <w:rsid w:val="001065E8"/>
    <w:rsid w:val="001149B4"/>
    <w:rsid w:val="00115834"/>
    <w:rsid w:val="00117994"/>
    <w:rsid w:val="00117CC5"/>
    <w:rsid w:val="00121804"/>
    <w:rsid w:val="00132A5C"/>
    <w:rsid w:val="001407F5"/>
    <w:rsid w:val="0014648D"/>
    <w:rsid w:val="00152561"/>
    <w:rsid w:val="00152F93"/>
    <w:rsid w:val="00154D4F"/>
    <w:rsid w:val="00156871"/>
    <w:rsid w:val="00156FBA"/>
    <w:rsid w:val="00160AC0"/>
    <w:rsid w:val="00170B1E"/>
    <w:rsid w:val="001728BD"/>
    <w:rsid w:val="0017728D"/>
    <w:rsid w:val="00181317"/>
    <w:rsid w:val="0019670E"/>
    <w:rsid w:val="00197393"/>
    <w:rsid w:val="00197A51"/>
    <w:rsid w:val="001A734F"/>
    <w:rsid w:val="001B2DF4"/>
    <w:rsid w:val="001B51E5"/>
    <w:rsid w:val="001D3268"/>
    <w:rsid w:val="001D42AE"/>
    <w:rsid w:val="001D7AEF"/>
    <w:rsid w:val="001E31FF"/>
    <w:rsid w:val="001E401B"/>
    <w:rsid w:val="001E58DF"/>
    <w:rsid w:val="001E6614"/>
    <w:rsid w:val="001F4419"/>
    <w:rsid w:val="001F5842"/>
    <w:rsid w:val="001F7C24"/>
    <w:rsid w:val="002026DE"/>
    <w:rsid w:val="00205CD9"/>
    <w:rsid w:val="00212C81"/>
    <w:rsid w:val="002131DA"/>
    <w:rsid w:val="00214EFE"/>
    <w:rsid w:val="0022054D"/>
    <w:rsid w:val="00224C40"/>
    <w:rsid w:val="00233DC5"/>
    <w:rsid w:val="00237565"/>
    <w:rsid w:val="00237CBB"/>
    <w:rsid w:val="0024066F"/>
    <w:rsid w:val="00240695"/>
    <w:rsid w:val="002467DF"/>
    <w:rsid w:val="00251956"/>
    <w:rsid w:val="00251E8C"/>
    <w:rsid w:val="002551CD"/>
    <w:rsid w:val="002657EC"/>
    <w:rsid w:val="0027195B"/>
    <w:rsid w:val="002731DE"/>
    <w:rsid w:val="00273466"/>
    <w:rsid w:val="0027570D"/>
    <w:rsid w:val="00276864"/>
    <w:rsid w:val="00276C5F"/>
    <w:rsid w:val="00283B60"/>
    <w:rsid w:val="0028711A"/>
    <w:rsid w:val="00293AB1"/>
    <w:rsid w:val="00295CC6"/>
    <w:rsid w:val="002970B8"/>
    <w:rsid w:val="002A3E31"/>
    <w:rsid w:val="002B2A6F"/>
    <w:rsid w:val="002B44DA"/>
    <w:rsid w:val="002B5C35"/>
    <w:rsid w:val="002C2580"/>
    <w:rsid w:val="002C2630"/>
    <w:rsid w:val="002D5D8B"/>
    <w:rsid w:val="002E220A"/>
    <w:rsid w:val="002E7A7E"/>
    <w:rsid w:val="002F3A52"/>
    <w:rsid w:val="002F442F"/>
    <w:rsid w:val="002F5A70"/>
    <w:rsid w:val="00311F38"/>
    <w:rsid w:val="003132B5"/>
    <w:rsid w:val="00313BB7"/>
    <w:rsid w:val="00313E9F"/>
    <w:rsid w:val="0032347C"/>
    <w:rsid w:val="0033178B"/>
    <w:rsid w:val="00336CF7"/>
    <w:rsid w:val="00340ED3"/>
    <w:rsid w:val="003433EF"/>
    <w:rsid w:val="0034688E"/>
    <w:rsid w:val="00347A65"/>
    <w:rsid w:val="00352F88"/>
    <w:rsid w:val="00363AB5"/>
    <w:rsid w:val="0036525B"/>
    <w:rsid w:val="00367AB4"/>
    <w:rsid w:val="00371009"/>
    <w:rsid w:val="0039011A"/>
    <w:rsid w:val="003909C8"/>
    <w:rsid w:val="00394F46"/>
    <w:rsid w:val="003955E9"/>
    <w:rsid w:val="003973BD"/>
    <w:rsid w:val="003A2097"/>
    <w:rsid w:val="003A36A7"/>
    <w:rsid w:val="003A5FBB"/>
    <w:rsid w:val="003A6EB5"/>
    <w:rsid w:val="003B0EC0"/>
    <w:rsid w:val="003B1C2D"/>
    <w:rsid w:val="003B3439"/>
    <w:rsid w:val="003B4EC6"/>
    <w:rsid w:val="003B59DC"/>
    <w:rsid w:val="003B675C"/>
    <w:rsid w:val="003B7E1F"/>
    <w:rsid w:val="003C78A4"/>
    <w:rsid w:val="003D0355"/>
    <w:rsid w:val="003D6B85"/>
    <w:rsid w:val="003E4E8D"/>
    <w:rsid w:val="003E53BD"/>
    <w:rsid w:val="003F15BD"/>
    <w:rsid w:val="00412B70"/>
    <w:rsid w:val="00415230"/>
    <w:rsid w:val="00417784"/>
    <w:rsid w:val="0042629F"/>
    <w:rsid w:val="0043745F"/>
    <w:rsid w:val="00437A47"/>
    <w:rsid w:val="0044408B"/>
    <w:rsid w:val="0045195E"/>
    <w:rsid w:val="00452B69"/>
    <w:rsid w:val="00456B2D"/>
    <w:rsid w:val="00460C97"/>
    <w:rsid w:val="00471544"/>
    <w:rsid w:val="00483750"/>
    <w:rsid w:val="004873DD"/>
    <w:rsid w:val="00491FE7"/>
    <w:rsid w:val="004954CD"/>
    <w:rsid w:val="004A1182"/>
    <w:rsid w:val="004A3903"/>
    <w:rsid w:val="004B61B6"/>
    <w:rsid w:val="004C5BF5"/>
    <w:rsid w:val="004D44EA"/>
    <w:rsid w:val="004D4A0F"/>
    <w:rsid w:val="004D74CF"/>
    <w:rsid w:val="004F1230"/>
    <w:rsid w:val="004F32C6"/>
    <w:rsid w:val="004F5296"/>
    <w:rsid w:val="00503C4F"/>
    <w:rsid w:val="00504EA3"/>
    <w:rsid w:val="0052048A"/>
    <w:rsid w:val="00521835"/>
    <w:rsid w:val="00523C6A"/>
    <w:rsid w:val="00525141"/>
    <w:rsid w:val="0052643C"/>
    <w:rsid w:val="0053017C"/>
    <w:rsid w:val="00532144"/>
    <w:rsid w:val="00535AE9"/>
    <w:rsid w:val="005411D3"/>
    <w:rsid w:val="00541228"/>
    <w:rsid w:val="00544C22"/>
    <w:rsid w:val="00544C94"/>
    <w:rsid w:val="005504F4"/>
    <w:rsid w:val="00553237"/>
    <w:rsid w:val="005627EB"/>
    <w:rsid w:val="00566198"/>
    <w:rsid w:val="0056745D"/>
    <w:rsid w:val="00583FA3"/>
    <w:rsid w:val="00584632"/>
    <w:rsid w:val="0058527E"/>
    <w:rsid w:val="00586933"/>
    <w:rsid w:val="00587186"/>
    <w:rsid w:val="005877ED"/>
    <w:rsid w:val="00596B6E"/>
    <w:rsid w:val="005971FD"/>
    <w:rsid w:val="005A0401"/>
    <w:rsid w:val="005A764E"/>
    <w:rsid w:val="005B1812"/>
    <w:rsid w:val="005B5ECA"/>
    <w:rsid w:val="005B6F18"/>
    <w:rsid w:val="005B70D5"/>
    <w:rsid w:val="005B71EC"/>
    <w:rsid w:val="005C3D19"/>
    <w:rsid w:val="005C41D0"/>
    <w:rsid w:val="005C4765"/>
    <w:rsid w:val="005C6F02"/>
    <w:rsid w:val="005D090C"/>
    <w:rsid w:val="005D0D65"/>
    <w:rsid w:val="005D7CA7"/>
    <w:rsid w:val="005E0AE5"/>
    <w:rsid w:val="005E1010"/>
    <w:rsid w:val="005E7358"/>
    <w:rsid w:val="005F31BE"/>
    <w:rsid w:val="005F4C13"/>
    <w:rsid w:val="00604D04"/>
    <w:rsid w:val="00604EDE"/>
    <w:rsid w:val="00611E1C"/>
    <w:rsid w:val="00613A47"/>
    <w:rsid w:val="006147A4"/>
    <w:rsid w:val="00624727"/>
    <w:rsid w:val="00634833"/>
    <w:rsid w:val="0064329B"/>
    <w:rsid w:val="006437AD"/>
    <w:rsid w:val="00646DA3"/>
    <w:rsid w:val="006479DF"/>
    <w:rsid w:val="00653155"/>
    <w:rsid w:val="00653184"/>
    <w:rsid w:val="006611C9"/>
    <w:rsid w:val="006636B0"/>
    <w:rsid w:val="00670D8B"/>
    <w:rsid w:val="006714D9"/>
    <w:rsid w:val="00673C93"/>
    <w:rsid w:val="00674FB6"/>
    <w:rsid w:val="006758D5"/>
    <w:rsid w:val="00677126"/>
    <w:rsid w:val="00690BDF"/>
    <w:rsid w:val="0069172B"/>
    <w:rsid w:val="00693695"/>
    <w:rsid w:val="006A2D82"/>
    <w:rsid w:val="006A59D0"/>
    <w:rsid w:val="006A6D95"/>
    <w:rsid w:val="006B1872"/>
    <w:rsid w:val="006B420D"/>
    <w:rsid w:val="006C23CB"/>
    <w:rsid w:val="006C37BD"/>
    <w:rsid w:val="006C690C"/>
    <w:rsid w:val="006E0AE3"/>
    <w:rsid w:val="006E1389"/>
    <w:rsid w:val="006E5661"/>
    <w:rsid w:val="006E5C40"/>
    <w:rsid w:val="006F0D1C"/>
    <w:rsid w:val="006F673C"/>
    <w:rsid w:val="006F7635"/>
    <w:rsid w:val="006F7D4A"/>
    <w:rsid w:val="00702B33"/>
    <w:rsid w:val="00705253"/>
    <w:rsid w:val="00715421"/>
    <w:rsid w:val="00716BA1"/>
    <w:rsid w:val="00727106"/>
    <w:rsid w:val="00731EBB"/>
    <w:rsid w:val="00732210"/>
    <w:rsid w:val="00740C9E"/>
    <w:rsid w:val="00741E31"/>
    <w:rsid w:val="00743609"/>
    <w:rsid w:val="00747090"/>
    <w:rsid w:val="007502C8"/>
    <w:rsid w:val="00754DFC"/>
    <w:rsid w:val="00754F16"/>
    <w:rsid w:val="00764156"/>
    <w:rsid w:val="00773965"/>
    <w:rsid w:val="00781170"/>
    <w:rsid w:val="00790C9F"/>
    <w:rsid w:val="00792E13"/>
    <w:rsid w:val="007971C2"/>
    <w:rsid w:val="007A343C"/>
    <w:rsid w:val="007A663E"/>
    <w:rsid w:val="007A6937"/>
    <w:rsid w:val="007A6DE4"/>
    <w:rsid w:val="007C177B"/>
    <w:rsid w:val="007C1D5B"/>
    <w:rsid w:val="007C601A"/>
    <w:rsid w:val="007C69F3"/>
    <w:rsid w:val="007D6660"/>
    <w:rsid w:val="007F0634"/>
    <w:rsid w:val="007F29AA"/>
    <w:rsid w:val="007F4188"/>
    <w:rsid w:val="0080414A"/>
    <w:rsid w:val="00804175"/>
    <w:rsid w:val="00805215"/>
    <w:rsid w:val="008059B9"/>
    <w:rsid w:val="00807F88"/>
    <w:rsid w:val="0081054C"/>
    <w:rsid w:val="00827DF8"/>
    <w:rsid w:val="00830614"/>
    <w:rsid w:val="008326D5"/>
    <w:rsid w:val="0083364A"/>
    <w:rsid w:val="0083550A"/>
    <w:rsid w:val="00844FAF"/>
    <w:rsid w:val="00850C3F"/>
    <w:rsid w:val="008538A6"/>
    <w:rsid w:val="00855BA5"/>
    <w:rsid w:val="00856B7A"/>
    <w:rsid w:val="008611A1"/>
    <w:rsid w:val="00874618"/>
    <w:rsid w:val="00874826"/>
    <w:rsid w:val="00883D91"/>
    <w:rsid w:val="00890D25"/>
    <w:rsid w:val="00891E79"/>
    <w:rsid w:val="00893A5D"/>
    <w:rsid w:val="008949B0"/>
    <w:rsid w:val="008A1B28"/>
    <w:rsid w:val="008B0275"/>
    <w:rsid w:val="008B3E00"/>
    <w:rsid w:val="008B5771"/>
    <w:rsid w:val="008B5B89"/>
    <w:rsid w:val="008B5C72"/>
    <w:rsid w:val="008C0595"/>
    <w:rsid w:val="008C5268"/>
    <w:rsid w:val="008C78CD"/>
    <w:rsid w:val="008D06C8"/>
    <w:rsid w:val="008D247F"/>
    <w:rsid w:val="008E533D"/>
    <w:rsid w:val="008E6848"/>
    <w:rsid w:val="008F68BD"/>
    <w:rsid w:val="00900468"/>
    <w:rsid w:val="00905BFE"/>
    <w:rsid w:val="009060BA"/>
    <w:rsid w:val="009064EF"/>
    <w:rsid w:val="009123A1"/>
    <w:rsid w:val="00913217"/>
    <w:rsid w:val="0091347B"/>
    <w:rsid w:val="0091430E"/>
    <w:rsid w:val="00923546"/>
    <w:rsid w:val="009246AA"/>
    <w:rsid w:val="00927F29"/>
    <w:rsid w:val="00930AE1"/>
    <w:rsid w:val="00932102"/>
    <w:rsid w:val="0093523B"/>
    <w:rsid w:val="00937E45"/>
    <w:rsid w:val="00943C72"/>
    <w:rsid w:val="00944FA6"/>
    <w:rsid w:val="009561ED"/>
    <w:rsid w:val="00960AB4"/>
    <w:rsid w:val="009631A9"/>
    <w:rsid w:val="00963D52"/>
    <w:rsid w:val="00980A65"/>
    <w:rsid w:val="00980DFE"/>
    <w:rsid w:val="00981941"/>
    <w:rsid w:val="0098267A"/>
    <w:rsid w:val="00982DCF"/>
    <w:rsid w:val="00982E7B"/>
    <w:rsid w:val="00984299"/>
    <w:rsid w:val="0099008D"/>
    <w:rsid w:val="00993AFA"/>
    <w:rsid w:val="009966DD"/>
    <w:rsid w:val="00997047"/>
    <w:rsid w:val="009A370A"/>
    <w:rsid w:val="009B0B67"/>
    <w:rsid w:val="009B5B0C"/>
    <w:rsid w:val="009B5D97"/>
    <w:rsid w:val="009C1D00"/>
    <w:rsid w:val="009C3D2A"/>
    <w:rsid w:val="009C527B"/>
    <w:rsid w:val="009D3A80"/>
    <w:rsid w:val="009D52CD"/>
    <w:rsid w:val="009D5FA1"/>
    <w:rsid w:val="009D6AC3"/>
    <w:rsid w:val="009E107A"/>
    <w:rsid w:val="009E4360"/>
    <w:rsid w:val="009E75D0"/>
    <w:rsid w:val="009F1FA6"/>
    <w:rsid w:val="009F5688"/>
    <w:rsid w:val="00A00D15"/>
    <w:rsid w:val="00A025BC"/>
    <w:rsid w:val="00A04FAD"/>
    <w:rsid w:val="00A12E20"/>
    <w:rsid w:val="00A15959"/>
    <w:rsid w:val="00A22741"/>
    <w:rsid w:val="00A250C1"/>
    <w:rsid w:val="00A269A4"/>
    <w:rsid w:val="00A27206"/>
    <w:rsid w:val="00A32AAE"/>
    <w:rsid w:val="00A34FB4"/>
    <w:rsid w:val="00A41969"/>
    <w:rsid w:val="00A41D36"/>
    <w:rsid w:val="00A439B0"/>
    <w:rsid w:val="00A45F28"/>
    <w:rsid w:val="00A53EAF"/>
    <w:rsid w:val="00A57E00"/>
    <w:rsid w:val="00A57FBD"/>
    <w:rsid w:val="00A741DC"/>
    <w:rsid w:val="00A7741A"/>
    <w:rsid w:val="00A8355A"/>
    <w:rsid w:val="00A85DD1"/>
    <w:rsid w:val="00A932B1"/>
    <w:rsid w:val="00A96D09"/>
    <w:rsid w:val="00A9771E"/>
    <w:rsid w:val="00AA451C"/>
    <w:rsid w:val="00AA667C"/>
    <w:rsid w:val="00AB014A"/>
    <w:rsid w:val="00AB2265"/>
    <w:rsid w:val="00AB3336"/>
    <w:rsid w:val="00AB5EC0"/>
    <w:rsid w:val="00AB70A7"/>
    <w:rsid w:val="00AC2048"/>
    <w:rsid w:val="00AD0933"/>
    <w:rsid w:val="00AD1463"/>
    <w:rsid w:val="00AE0B57"/>
    <w:rsid w:val="00AE0F40"/>
    <w:rsid w:val="00AE1768"/>
    <w:rsid w:val="00AE1FAC"/>
    <w:rsid w:val="00AE2C72"/>
    <w:rsid w:val="00AF3E34"/>
    <w:rsid w:val="00AF4DD0"/>
    <w:rsid w:val="00AF7DE3"/>
    <w:rsid w:val="00B05998"/>
    <w:rsid w:val="00B26333"/>
    <w:rsid w:val="00B37E8A"/>
    <w:rsid w:val="00B5595A"/>
    <w:rsid w:val="00B62F13"/>
    <w:rsid w:val="00B6421B"/>
    <w:rsid w:val="00B64B52"/>
    <w:rsid w:val="00B70B26"/>
    <w:rsid w:val="00B7334D"/>
    <w:rsid w:val="00B73C50"/>
    <w:rsid w:val="00B75BD3"/>
    <w:rsid w:val="00B80A37"/>
    <w:rsid w:val="00B81963"/>
    <w:rsid w:val="00B838F5"/>
    <w:rsid w:val="00B8742B"/>
    <w:rsid w:val="00BA241B"/>
    <w:rsid w:val="00BA4135"/>
    <w:rsid w:val="00BA73A3"/>
    <w:rsid w:val="00BB444C"/>
    <w:rsid w:val="00BC0BA0"/>
    <w:rsid w:val="00BC1BD9"/>
    <w:rsid w:val="00BC3A1F"/>
    <w:rsid w:val="00BC6E36"/>
    <w:rsid w:val="00BC783F"/>
    <w:rsid w:val="00BD1311"/>
    <w:rsid w:val="00BD1416"/>
    <w:rsid w:val="00BD1A35"/>
    <w:rsid w:val="00BD64D8"/>
    <w:rsid w:val="00BE2F1A"/>
    <w:rsid w:val="00BE39FC"/>
    <w:rsid w:val="00BE4DD6"/>
    <w:rsid w:val="00BE5F08"/>
    <w:rsid w:val="00BE61FC"/>
    <w:rsid w:val="00BF24BB"/>
    <w:rsid w:val="00BF579F"/>
    <w:rsid w:val="00BF76BD"/>
    <w:rsid w:val="00C01001"/>
    <w:rsid w:val="00C021C8"/>
    <w:rsid w:val="00C04D0B"/>
    <w:rsid w:val="00C06C3A"/>
    <w:rsid w:val="00C14177"/>
    <w:rsid w:val="00C17985"/>
    <w:rsid w:val="00C204D9"/>
    <w:rsid w:val="00C24491"/>
    <w:rsid w:val="00C245AF"/>
    <w:rsid w:val="00C26389"/>
    <w:rsid w:val="00C327BC"/>
    <w:rsid w:val="00C34B3F"/>
    <w:rsid w:val="00C37457"/>
    <w:rsid w:val="00C40109"/>
    <w:rsid w:val="00C41249"/>
    <w:rsid w:val="00C45246"/>
    <w:rsid w:val="00C45790"/>
    <w:rsid w:val="00C560BD"/>
    <w:rsid w:val="00C563E3"/>
    <w:rsid w:val="00C5723C"/>
    <w:rsid w:val="00C60608"/>
    <w:rsid w:val="00C63205"/>
    <w:rsid w:val="00C71C98"/>
    <w:rsid w:val="00C80A49"/>
    <w:rsid w:val="00C8192A"/>
    <w:rsid w:val="00C855DF"/>
    <w:rsid w:val="00C8581E"/>
    <w:rsid w:val="00C865B4"/>
    <w:rsid w:val="00C87072"/>
    <w:rsid w:val="00C90A38"/>
    <w:rsid w:val="00C939DF"/>
    <w:rsid w:val="00C974DD"/>
    <w:rsid w:val="00CA51DD"/>
    <w:rsid w:val="00CB1F87"/>
    <w:rsid w:val="00CB2799"/>
    <w:rsid w:val="00CB5C27"/>
    <w:rsid w:val="00CD394F"/>
    <w:rsid w:val="00CD6E56"/>
    <w:rsid w:val="00CE147D"/>
    <w:rsid w:val="00CE4FA1"/>
    <w:rsid w:val="00CE5CD7"/>
    <w:rsid w:val="00CF0C7D"/>
    <w:rsid w:val="00CF3D6D"/>
    <w:rsid w:val="00D00DA9"/>
    <w:rsid w:val="00D064AE"/>
    <w:rsid w:val="00D06B5E"/>
    <w:rsid w:val="00D123C6"/>
    <w:rsid w:val="00D15275"/>
    <w:rsid w:val="00D275C4"/>
    <w:rsid w:val="00D31B32"/>
    <w:rsid w:val="00D32B4A"/>
    <w:rsid w:val="00D41F69"/>
    <w:rsid w:val="00D45306"/>
    <w:rsid w:val="00D4689D"/>
    <w:rsid w:val="00D505CA"/>
    <w:rsid w:val="00D5136B"/>
    <w:rsid w:val="00D513AF"/>
    <w:rsid w:val="00D5204F"/>
    <w:rsid w:val="00D562DB"/>
    <w:rsid w:val="00D5654A"/>
    <w:rsid w:val="00D6293D"/>
    <w:rsid w:val="00D62A78"/>
    <w:rsid w:val="00D63A44"/>
    <w:rsid w:val="00D659F5"/>
    <w:rsid w:val="00D70723"/>
    <w:rsid w:val="00D7571A"/>
    <w:rsid w:val="00D75E92"/>
    <w:rsid w:val="00D80D84"/>
    <w:rsid w:val="00D84874"/>
    <w:rsid w:val="00D85EE8"/>
    <w:rsid w:val="00D90E31"/>
    <w:rsid w:val="00D9167D"/>
    <w:rsid w:val="00D918F8"/>
    <w:rsid w:val="00D951A7"/>
    <w:rsid w:val="00D9708F"/>
    <w:rsid w:val="00DA0335"/>
    <w:rsid w:val="00DA5458"/>
    <w:rsid w:val="00DA687F"/>
    <w:rsid w:val="00DA7D26"/>
    <w:rsid w:val="00DC168E"/>
    <w:rsid w:val="00DC1B92"/>
    <w:rsid w:val="00DC3905"/>
    <w:rsid w:val="00DC3E0D"/>
    <w:rsid w:val="00DD2311"/>
    <w:rsid w:val="00DD4685"/>
    <w:rsid w:val="00DD555A"/>
    <w:rsid w:val="00DE0936"/>
    <w:rsid w:val="00DE1A8D"/>
    <w:rsid w:val="00DE4642"/>
    <w:rsid w:val="00DF079E"/>
    <w:rsid w:val="00DF6F05"/>
    <w:rsid w:val="00E00ABF"/>
    <w:rsid w:val="00E05E41"/>
    <w:rsid w:val="00E12344"/>
    <w:rsid w:val="00E15D49"/>
    <w:rsid w:val="00E25D0F"/>
    <w:rsid w:val="00E31C2D"/>
    <w:rsid w:val="00E322FF"/>
    <w:rsid w:val="00E37F2C"/>
    <w:rsid w:val="00E43A76"/>
    <w:rsid w:val="00E502CC"/>
    <w:rsid w:val="00E5255B"/>
    <w:rsid w:val="00E52E7A"/>
    <w:rsid w:val="00E54384"/>
    <w:rsid w:val="00E54CA8"/>
    <w:rsid w:val="00E55283"/>
    <w:rsid w:val="00E55C9E"/>
    <w:rsid w:val="00E63F8E"/>
    <w:rsid w:val="00E71018"/>
    <w:rsid w:val="00E75028"/>
    <w:rsid w:val="00E7657E"/>
    <w:rsid w:val="00E773FE"/>
    <w:rsid w:val="00E902E1"/>
    <w:rsid w:val="00EA2EFC"/>
    <w:rsid w:val="00EA3052"/>
    <w:rsid w:val="00EA6B3B"/>
    <w:rsid w:val="00EA748D"/>
    <w:rsid w:val="00EB1A3A"/>
    <w:rsid w:val="00EB443E"/>
    <w:rsid w:val="00EB597F"/>
    <w:rsid w:val="00EB7C15"/>
    <w:rsid w:val="00EC2B48"/>
    <w:rsid w:val="00EC2E27"/>
    <w:rsid w:val="00ED1E46"/>
    <w:rsid w:val="00ED54A4"/>
    <w:rsid w:val="00ED641D"/>
    <w:rsid w:val="00ED70C3"/>
    <w:rsid w:val="00EE3EDD"/>
    <w:rsid w:val="00EE708E"/>
    <w:rsid w:val="00EF17C6"/>
    <w:rsid w:val="00F02B5D"/>
    <w:rsid w:val="00F0682A"/>
    <w:rsid w:val="00F0797A"/>
    <w:rsid w:val="00F11093"/>
    <w:rsid w:val="00F11576"/>
    <w:rsid w:val="00F223ED"/>
    <w:rsid w:val="00F262CB"/>
    <w:rsid w:val="00F3589E"/>
    <w:rsid w:val="00F35F5E"/>
    <w:rsid w:val="00F37FC6"/>
    <w:rsid w:val="00F414E6"/>
    <w:rsid w:val="00F4287E"/>
    <w:rsid w:val="00F46029"/>
    <w:rsid w:val="00F46405"/>
    <w:rsid w:val="00F52EA3"/>
    <w:rsid w:val="00F56C31"/>
    <w:rsid w:val="00F578F6"/>
    <w:rsid w:val="00F604AB"/>
    <w:rsid w:val="00F615BB"/>
    <w:rsid w:val="00F6276E"/>
    <w:rsid w:val="00F66C01"/>
    <w:rsid w:val="00F75475"/>
    <w:rsid w:val="00F843C2"/>
    <w:rsid w:val="00F85551"/>
    <w:rsid w:val="00F90A20"/>
    <w:rsid w:val="00F91D1A"/>
    <w:rsid w:val="00FA19CC"/>
    <w:rsid w:val="00FA47DF"/>
    <w:rsid w:val="00FA50AA"/>
    <w:rsid w:val="00FB00DB"/>
    <w:rsid w:val="00FC7B57"/>
    <w:rsid w:val="00FD6B97"/>
    <w:rsid w:val="00FE3797"/>
    <w:rsid w:val="00FE3B79"/>
    <w:rsid w:val="00FE5451"/>
    <w:rsid w:val="00FE743D"/>
    <w:rsid w:val="00FF4E87"/>
    <w:rsid w:val="00FF58BF"/>
    <w:rsid w:val="00FF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5D82"/>
  <w15:docId w15:val="{620CEC7E-6E90-4C76-9DDD-592E464C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3EAF"/>
    <w:rPr>
      <w:color w:val="0000FF"/>
      <w:u w:val="single"/>
    </w:rPr>
  </w:style>
  <w:style w:type="paragraph" w:styleId="ListParagraph">
    <w:name w:val="List Paragraph"/>
    <w:basedOn w:val="Normal"/>
    <w:uiPriority w:val="34"/>
    <w:qFormat/>
    <w:rsid w:val="008B3E00"/>
    <w:pPr>
      <w:ind w:left="720"/>
      <w:contextualSpacing/>
    </w:pPr>
  </w:style>
  <w:style w:type="paragraph" w:styleId="BalloonText">
    <w:name w:val="Balloon Text"/>
    <w:basedOn w:val="Normal"/>
    <w:link w:val="BalloonTextChar"/>
    <w:uiPriority w:val="99"/>
    <w:semiHidden/>
    <w:unhideWhenUsed/>
    <w:rsid w:val="0004615F"/>
    <w:rPr>
      <w:rFonts w:ascii="Tahoma" w:hAnsi="Tahoma" w:cs="Tahoma"/>
      <w:sz w:val="16"/>
      <w:szCs w:val="16"/>
    </w:rPr>
  </w:style>
  <w:style w:type="character" w:customStyle="1" w:styleId="BalloonTextChar">
    <w:name w:val="Balloon Text Char"/>
    <w:basedOn w:val="DefaultParagraphFont"/>
    <w:link w:val="BalloonText"/>
    <w:uiPriority w:val="99"/>
    <w:semiHidden/>
    <w:rsid w:val="0004615F"/>
    <w:rPr>
      <w:rFonts w:ascii="Tahoma" w:eastAsia="Times New Roman" w:hAnsi="Tahoma" w:cs="Tahoma"/>
      <w:sz w:val="16"/>
      <w:szCs w:val="16"/>
    </w:rPr>
  </w:style>
  <w:style w:type="paragraph" w:styleId="Header">
    <w:name w:val="header"/>
    <w:basedOn w:val="Normal"/>
    <w:link w:val="HeaderChar"/>
    <w:uiPriority w:val="99"/>
    <w:unhideWhenUsed/>
    <w:rsid w:val="0099008D"/>
    <w:pPr>
      <w:tabs>
        <w:tab w:val="center" w:pos="4680"/>
        <w:tab w:val="right" w:pos="9360"/>
      </w:tabs>
    </w:pPr>
  </w:style>
  <w:style w:type="character" w:customStyle="1" w:styleId="HeaderChar">
    <w:name w:val="Header Char"/>
    <w:basedOn w:val="DefaultParagraphFont"/>
    <w:link w:val="Header"/>
    <w:uiPriority w:val="99"/>
    <w:rsid w:val="009900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08D"/>
    <w:pPr>
      <w:tabs>
        <w:tab w:val="center" w:pos="4680"/>
        <w:tab w:val="right" w:pos="9360"/>
      </w:tabs>
    </w:pPr>
  </w:style>
  <w:style w:type="character" w:customStyle="1" w:styleId="FooterChar">
    <w:name w:val="Footer Char"/>
    <w:basedOn w:val="DefaultParagraphFont"/>
    <w:link w:val="Footer"/>
    <w:uiPriority w:val="99"/>
    <w:rsid w:val="0099008D"/>
    <w:rPr>
      <w:rFonts w:ascii="Times New Roman" w:eastAsia="Times New Roman" w:hAnsi="Times New Roman" w:cs="Times New Roman"/>
      <w:sz w:val="24"/>
      <w:szCs w:val="24"/>
    </w:rPr>
  </w:style>
  <w:style w:type="table" w:styleId="TableGrid">
    <w:name w:val="Table Grid"/>
    <w:basedOn w:val="TableNormal"/>
    <w:uiPriority w:val="59"/>
    <w:rsid w:val="009E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8720">
      <w:bodyDiv w:val="1"/>
      <w:marLeft w:val="0"/>
      <w:marRight w:val="0"/>
      <w:marTop w:val="0"/>
      <w:marBottom w:val="0"/>
      <w:divBdr>
        <w:top w:val="none" w:sz="0" w:space="0" w:color="auto"/>
        <w:left w:val="none" w:sz="0" w:space="0" w:color="auto"/>
        <w:bottom w:val="none" w:sz="0" w:space="0" w:color="auto"/>
        <w:right w:val="none" w:sz="0" w:space="0" w:color="auto"/>
      </w:divBdr>
    </w:div>
    <w:div w:id="17942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Pages>1</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dungcs_pc</dc:creator>
  <cp:lastModifiedBy>Hien_PC</cp:lastModifiedBy>
  <cp:revision>50</cp:revision>
  <cp:lastPrinted>2023-06-26T01:34:00Z</cp:lastPrinted>
  <dcterms:created xsi:type="dcterms:W3CDTF">2023-10-04T04:22:00Z</dcterms:created>
  <dcterms:modified xsi:type="dcterms:W3CDTF">2024-08-01T08:07:00Z</dcterms:modified>
</cp:coreProperties>
</file>